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663E2" w14:textId="1A5E95FA" w:rsidR="005F19C3" w:rsidRPr="00443F89" w:rsidRDefault="00443E9C" w:rsidP="00443F89">
      <w:pPr>
        <w:widowControl w:val="0"/>
        <w:autoSpaceDE w:val="0"/>
        <w:autoSpaceDN w:val="0"/>
        <w:adjustRightInd w:val="0"/>
        <w:ind w:left="-567"/>
        <w:contextualSpacing/>
        <w:jc w:val="center"/>
        <w:rPr>
          <w:rFonts w:asciiTheme="majorHAnsi" w:hAnsiTheme="majorHAnsi" w:cstheme="majorHAnsi"/>
          <w:sz w:val="32"/>
          <w:szCs w:val="32"/>
        </w:rPr>
      </w:pPr>
      <w:r w:rsidRPr="00443F89">
        <w:rPr>
          <w:rFonts w:asciiTheme="majorHAnsi" w:hAnsiTheme="majorHAnsi" w:cstheme="majorHAnsi"/>
          <w:sz w:val="32"/>
          <w:szCs w:val="32"/>
        </w:rPr>
        <w:t>COMUNICATO STAMPA</w:t>
      </w:r>
      <w:r w:rsidR="00EB180F">
        <w:rPr>
          <w:rFonts w:asciiTheme="majorHAnsi" w:hAnsiTheme="majorHAnsi" w:cstheme="majorHAnsi"/>
          <w:sz w:val="32"/>
          <w:szCs w:val="32"/>
        </w:rPr>
        <w:t xml:space="preserve"> CONGIU</w:t>
      </w:r>
      <w:bookmarkStart w:id="0" w:name="_GoBack"/>
      <w:bookmarkEnd w:id="0"/>
      <w:r w:rsidR="00EB180F">
        <w:rPr>
          <w:rFonts w:asciiTheme="majorHAnsi" w:hAnsiTheme="majorHAnsi" w:cstheme="majorHAnsi"/>
          <w:sz w:val="32"/>
          <w:szCs w:val="32"/>
        </w:rPr>
        <w:t>NTO</w:t>
      </w:r>
    </w:p>
    <w:p w14:paraId="62576D42" w14:textId="4F07699F" w:rsidR="00720263" w:rsidRPr="00720263" w:rsidRDefault="00720263" w:rsidP="00A115AC">
      <w:pPr>
        <w:ind w:left="-284" w:right="283"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7485D0F6" w14:textId="1D3C332B" w:rsidR="00B14999" w:rsidRPr="00B14999" w:rsidRDefault="00B14999" w:rsidP="00B14999">
      <w:pPr>
        <w:ind w:left="-284" w:right="283"/>
        <w:jc w:val="center"/>
        <w:rPr>
          <w:rFonts w:asciiTheme="majorHAnsi" w:hAnsiTheme="majorHAnsi" w:cstheme="majorHAnsi"/>
          <w:b/>
          <w:bCs/>
          <w:caps/>
          <w:sz w:val="28"/>
          <w:szCs w:val="28"/>
        </w:rPr>
      </w:pPr>
      <w:r w:rsidRPr="00B14999">
        <w:rPr>
          <w:rFonts w:asciiTheme="majorHAnsi" w:hAnsiTheme="majorHAnsi" w:cstheme="majorHAnsi"/>
          <w:b/>
          <w:bCs/>
          <w:caps/>
          <w:sz w:val="28"/>
          <w:szCs w:val="28"/>
        </w:rPr>
        <w:t>Edilizia in tilt</w:t>
      </w:r>
      <w:r>
        <w:rPr>
          <w:rFonts w:asciiTheme="majorHAnsi" w:hAnsiTheme="majorHAnsi" w:cstheme="majorHAnsi"/>
          <w:b/>
          <w:bCs/>
          <w:caps/>
          <w:sz w:val="28"/>
          <w:szCs w:val="28"/>
        </w:rPr>
        <w:t xml:space="preserve">: LE PARTI SOCIALI </w:t>
      </w:r>
      <w:r w:rsidR="005654C0">
        <w:rPr>
          <w:rFonts w:asciiTheme="majorHAnsi" w:hAnsiTheme="majorHAnsi" w:cstheme="majorHAnsi"/>
          <w:b/>
          <w:bCs/>
          <w:caps/>
          <w:sz w:val="28"/>
          <w:szCs w:val="28"/>
        </w:rPr>
        <w:t xml:space="preserve">CONTRO IL DL 11/23 </w:t>
      </w:r>
      <w:r w:rsidR="00130E89">
        <w:rPr>
          <w:rFonts w:asciiTheme="majorHAnsi" w:hAnsiTheme="majorHAnsi" w:cstheme="majorHAnsi"/>
          <w:b/>
          <w:bCs/>
          <w:caps/>
          <w:sz w:val="28"/>
          <w:szCs w:val="28"/>
        </w:rPr>
        <w:t xml:space="preserve">CHE </w:t>
      </w:r>
      <w:r w:rsidR="005654C0">
        <w:rPr>
          <w:rFonts w:asciiTheme="majorHAnsi" w:hAnsiTheme="majorHAnsi" w:cstheme="majorHAnsi"/>
          <w:b/>
          <w:bCs/>
          <w:caps/>
          <w:sz w:val="28"/>
          <w:szCs w:val="28"/>
        </w:rPr>
        <w:t>METTE DEFINITIVAMENTE LA PAROLA FINE AL SUPERBONUS</w:t>
      </w:r>
    </w:p>
    <w:p w14:paraId="2F43326C" w14:textId="77777777" w:rsidR="00AE75C2" w:rsidRDefault="00AE75C2" w:rsidP="007C155C">
      <w:pPr>
        <w:ind w:left="-284" w:right="283"/>
        <w:jc w:val="center"/>
        <w:rPr>
          <w:rFonts w:asciiTheme="majorHAnsi" w:hAnsiTheme="majorHAnsi" w:cstheme="majorHAnsi"/>
          <w:b/>
          <w:bCs/>
          <w:caps/>
          <w:sz w:val="28"/>
          <w:szCs w:val="28"/>
        </w:rPr>
      </w:pPr>
    </w:p>
    <w:p w14:paraId="0B1827EF" w14:textId="1C028DF2" w:rsidR="00720263" w:rsidRPr="00E9207E" w:rsidRDefault="00B14999" w:rsidP="007C155C">
      <w:pPr>
        <w:ind w:left="-284" w:right="283"/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E9207E">
        <w:rPr>
          <w:rFonts w:asciiTheme="majorHAnsi" w:hAnsiTheme="majorHAnsi" w:cstheme="majorHAnsi"/>
          <w:i/>
          <w:iCs/>
          <w:sz w:val="28"/>
          <w:szCs w:val="28"/>
        </w:rPr>
        <w:t>Con il blocco delle cessioni ci</w:t>
      </w:r>
      <w:r w:rsidR="00BE7381" w:rsidRPr="00E9207E">
        <w:rPr>
          <w:rFonts w:asciiTheme="majorHAnsi" w:hAnsiTheme="majorHAnsi" w:cstheme="majorHAnsi"/>
          <w:i/>
          <w:iCs/>
          <w:sz w:val="28"/>
          <w:szCs w:val="28"/>
        </w:rPr>
        <w:t xml:space="preserve"> sarà</w:t>
      </w:r>
      <w:r w:rsidR="007C155C" w:rsidRPr="00E9207E">
        <w:rPr>
          <w:rFonts w:asciiTheme="majorHAnsi" w:hAnsiTheme="majorHAnsi" w:cstheme="majorHAnsi"/>
          <w:i/>
          <w:iCs/>
          <w:sz w:val="28"/>
          <w:szCs w:val="28"/>
        </w:rPr>
        <w:t xml:space="preserve"> una grave crisi sociale ed economica per migliaia di famiglie e imprese</w:t>
      </w:r>
    </w:p>
    <w:p w14:paraId="1ED38335" w14:textId="49867AEC" w:rsidR="00493FFC" w:rsidRDefault="00493FFC" w:rsidP="0031452B">
      <w:pPr>
        <w:ind w:right="283"/>
        <w:jc w:val="both"/>
        <w:rPr>
          <w:rFonts w:asciiTheme="majorHAnsi" w:hAnsiTheme="majorHAnsi" w:cstheme="majorHAnsi"/>
          <w:bCs/>
        </w:rPr>
      </w:pPr>
    </w:p>
    <w:p w14:paraId="4726975C" w14:textId="77777777" w:rsidR="007F305A" w:rsidRDefault="007F305A" w:rsidP="0031452B">
      <w:pPr>
        <w:ind w:right="283"/>
        <w:jc w:val="both"/>
        <w:rPr>
          <w:rFonts w:asciiTheme="majorHAnsi" w:hAnsiTheme="majorHAnsi" w:cstheme="majorHAnsi"/>
          <w:bCs/>
        </w:rPr>
      </w:pPr>
    </w:p>
    <w:p w14:paraId="5DF822D9" w14:textId="4AFD33A9" w:rsidR="00DA393A" w:rsidRDefault="00E9207E" w:rsidP="00E9207E">
      <w:pPr>
        <w:spacing w:after="120"/>
        <w:ind w:left="-284" w:right="284"/>
        <w:jc w:val="both"/>
        <w:rPr>
          <w:rFonts w:asciiTheme="majorHAnsi" w:hAnsiTheme="majorHAnsi" w:cstheme="majorHAnsi"/>
          <w:bCs/>
        </w:rPr>
      </w:pPr>
      <w:r w:rsidRPr="00790C64">
        <w:rPr>
          <w:rFonts w:asciiTheme="majorHAnsi" w:hAnsiTheme="majorHAnsi" w:cstheme="majorHAnsi"/>
          <w:bCs/>
          <w:i/>
          <w:iCs/>
        </w:rPr>
        <w:t>«</w:t>
      </w:r>
      <w:r w:rsidR="00BB30BD" w:rsidRPr="00E9207E">
        <w:rPr>
          <w:rFonts w:asciiTheme="majorHAnsi" w:hAnsiTheme="majorHAnsi" w:cstheme="majorHAnsi"/>
          <w:bCs/>
          <w:i/>
          <w:iCs/>
        </w:rPr>
        <w:t>Con un colpo di spugna in poche ore hanno deciso il destino di migliaia di cittadini</w:t>
      </w:r>
      <w:r w:rsidR="005B5C95" w:rsidRPr="00E9207E">
        <w:rPr>
          <w:rFonts w:asciiTheme="majorHAnsi" w:hAnsiTheme="majorHAnsi" w:cstheme="majorHAnsi"/>
          <w:bCs/>
          <w:i/>
          <w:iCs/>
        </w:rPr>
        <w:t xml:space="preserve"> </w:t>
      </w:r>
      <w:r w:rsidR="005B5C95" w:rsidRPr="00790C64">
        <w:rPr>
          <w:rFonts w:asciiTheme="majorHAnsi" w:hAnsiTheme="majorHAnsi" w:cstheme="majorHAnsi"/>
          <w:bCs/>
          <w:i/>
          <w:iCs/>
        </w:rPr>
        <w:t>–</w:t>
      </w:r>
      <w:r w:rsidR="00BB30BD" w:rsidRPr="00790C64">
        <w:rPr>
          <w:rFonts w:asciiTheme="majorHAnsi" w:hAnsiTheme="majorHAnsi" w:cstheme="majorHAnsi"/>
          <w:bCs/>
          <w:i/>
          <w:iCs/>
        </w:rPr>
        <w:t xml:space="preserve"> proprietari</w:t>
      </w:r>
      <w:r w:rsidR="005B5C95" w:rsidRPr="00790C64">
        <w:rPr>
          <w:rFonts w:asciiTheme="majorHAnsi" w:hAnsiTheme="majorHAnsi" w:cstheme="majorHAnsi"/>
          <w:bCs/>
          <w:i/>
          <w:iCs/>
        </w:rPr>
        <w:t xml:space="preserve"> </w:t>
      </w:r>
      <w:r w:rsidR="00BB30BD" w:rsidRPr="00790C64">
        <w:rPr>
          <w:rFonts w:asciiTheme="majorHAnsi" w:hAnsiTheme="majorHAnsi" w:cstheme="majorHAnsi"/>
          <w:bCs/>
          <w:i/>
          <w:iCs/>
        </w:rPr>
        <w:t>di immobili, lavoratori e imprenditori</w:t>
      </w:r>
      <w:r w:rsidR="00992D01" w:rsidRPr="00790C64">
        <w:rPr>
          <w:rFonts w:asciiTheme="majorHAnsi" w:hAnsiTheme="majorHAnsi" w:cstheme="majorHAnsi"/>
          <w:bCs/>
          <w:i/>
          <w:iCs/>
        </w:rPr>
        <w:t xml:space="preserve"> dei settori edilizia e impianti </w:t>
      </w:r>
      <w:r w:rsidR="005B5C95" w:rsidRPr="00790C64">
        <w:rPr>
          <w:rFonts w:asciiTheme="majorHAnsi" w:hAnsiTheme="majorHAnsi" w:cstheme="majorHAnsi"/>
          <w:bCs/>
          <w:i/>
          <w:iCs/>
        </w:rPr>
        <w:t>–</w:t>
      </w:r>
      <w:r w:rsidR="00BB30BD" w:rsidRPr="00E9207E">
        <w:rPr>
          <w:rFonts w:asciiTheme="majorHAnsi" w:hAnsiTheme="majorHAnsi" w:cstheme="majorHAnsi"/>
          <w:bCs/>
          <w:i/>
          <w:iCs/>
        </w:rPr>
        <w:t xml:space="preserve"> esponendo</w:t>
      </w:r>
      <w:r w:rsidR="005B5C95" w:rsidRPr="00E9207E">
        <w:rPr>
          <w:rFonts w:asciiTheme="majorHAnsi" w:hAnsiTheme="majorHAnsi" w:cstheme="majorHAnsi"/>
          <w:bCs/>
          <w:i/>
          <w:iCs/>
        </w:rPr>
        <w:t xml:space="preserve"> </w:t>
      </w:r>
      <w:r w:rsidR="00BB30BD" w:rsidRPr="00E9207E">
        <w:rPr>
          <w:rFonts w:asciiTheme="majorHAnsi" w:hAnsiTheme="majorHAnsi" w:cstheme="majorHAnsi"/>
          <w:bCs/>
          <w:i/>
          <w:iCs/>
        </w:rPr>
        <w:t>25mila imprese a rischio fallimento e 130mila disoccupati a livello nazionale</w:t>
      </w:r>
      <w:r w:rsidR="001D62AC" w:rsidRPr="00E9207E">
        <w:rPr>
          <w:rFonts w:asciiTheme="majorHAnsi" w:hAnsiTheme="majorHAnsi" w:cstheme="majorHAnsi"/>
          <w:bCs/>
          <w:i/>
          <w:iCs/>
        </w:rPr>
        <w:t>, da</w:t>
      </w:r>
      <w:r w:rsidR="005654C0" w:rsidRPr="00E9207E">
        <w:rPr>
          <w:rFonts w:asciiTheme="majorHAnsi" w:hAnsiTheme="majorHAnsi" w:cstheme="majorHAnsi"/>
          <w:bCs/>
          <w:i/>
          <w:iCs/>
        </w:rPr>
        <w:t>t</w:t>
      </w:r>
      <w:r w:rsidR="001D62AC" w:rsidRPr="00E9207E">
        <w:rPr>
          <w:rFonts w:asciiTheme="majorHAnsi" w:hAnsiTheme="majorHAnsi" w:cstheme="majorHAnsi"/>
          <w:bCs/>
          <w:i/>
          <w:iCs/>
        </w:rPr>
        <w:t>i</w:t>
      </w:r>
      <w:r w:rsidR="00BB30BD" w:rsidRPr="00E9207E">
        <w:rPr>
          <w:rFonts w:asciiTheme="majorHAnsi" w:hAnsiTheme="majorHAnsi" w:cstheme="majorHAnsi"/>
          <w:bCs/>
          <w:i/>
          <w:iCs/>
        </w:rPr>
        <w:t xml:space="preserve"> che nell</w:t>
      </w:r>
      <w:r w:rsidR="001D62AC" w:rsidRPr="00E9207E">
        <w:rPr>
          <w:rFonts w:asciiTheme="majorHAnsi" w:hAnsiTheme="majorHAnsi" w:cstheme="majorHAnsi"/>
          <w:bCs/>
          <w:i/>
          <w:iCs/>
        </w:rPr>
        <w:t>e</w:t>
      </w:r>
      <w:r w:rsidR="00BB30BD" w:rsidRPr="00E9207E">
        <w:rPr>
          <w:rFonts w:asciiTheme="majorHAnsi" w:hAnsiTheme="majorHAnsi" w:cstheme="majorHAnsi"/>
          <w:bCs/>
          <w:i/>
          <w:iCs/>
        </w:rPr>
        <w:t xml:space="preserve"> Marche si traducono in 1</w:t>
      </w:r>
      <w:r w:rsidR="00DA393A" w:rsidRPr="00E9207E">
        <w:rPr>
          <w:rFonts w:asciiTheme="majorHAnsi" w:hAnsiTheme="majorHAnsi" w:cstheme="majorHAnsi"/>
          <w:bCs/>
          <w:i/>
          <w:iCs/>
        </w:rPr>
        <w:t>’</w:t>
      </w:r>
      <w:r w:rsidR="00BB30BD" w:rsidRPr="00E9207E">
        <w:rPr>
          <w:rFonts w:asciiTheme="majorHAnsi" w:hAnsiTheme="majorHAnsi" w:cstheme="majorHAnsi"/>
          <w:bCs/>
          <w:i/>
          <w:iCs/>
        </w:rPr>
        <w:t>300 imprese coinvolte e quasi 7mila lavoratori a rischio</w:t>
      </w:r>
      <w:r w:rsidRPr="00790C64">
        <w:rPr>
          <w:rFonts w:asciiTheme="majorHAnsi" w:hAnsiTheme="majorHAnsi" w:cstheme="majorHAnsi"/>
          <w:bCs/>
          <w:i/>
          <w:iCs/>
        </w:rPr>
        <w:t>»</w:t>
      </w:r>
      <w:r>
        <w:rPr>
          <w:rFonts w:ascii="Courier New" w:hAnsi="Courier New" w:cs="Courier New"/>
          <w:bCs/>
        </w:rPr>
        <w:t xml:space="preserve"> </w:t>
      </w:r>
      <w:r>
        <w:rPr>
          <w:rFonts w:asciiTheme="majorHAnsi" w:hAnsiTheme="majorHAnsi" w:cstheme="majorHAnsi"/>
          <w:bCs/>
        </w:rPr>
        <w:t>affermano le principali Associazioni di categoria regionali.</w:t>
      </w:r>
    </w:p>
    <w:p w14:paraId="723590C5" w14:textId="393E7BC8" w:rsidR="004B605A" w:rsidRPr="00E9207E" w:rsidRDefault="00E9207E" w:rsidP="00E9207E">
      <w:pPr>
        <w:ind w:left="-284" w:right="284"/>
        <w:jc w:val="both"/>
        <w:rPr>
          <w:rFonts w:asciiTheme="majorHAnsi" w:hAnsiTheme="majorHAnsi" w:cstheme="majorHAnsi"/>
          <w:bCs/>
          <w:i/>
          <w:iCs/>
        </w:rPr>
      </w:pPr>
      <w:r w:rsidRPr="00790C64">
        <w:rPr>
          <w:rFonts w:asciiTheme="majorHAnsi" w:hAnsiTheme="majorHAnsi" w:cstheme="majorHAnsi"/>
          <w:bCs/>
          <w:i/>
          <w:iCs/>
        </w:rPr>
        <w:t>«</w:t>
      </w:r>
      <w:r w:rsidR="00130E89" w:rsidRPr="00E9207E">
        <w:rPr>
          <w:rFonts w:asciiTheme="majorHAnsi" w:hAnsiTheme="majorHAnsi" w:cstheme="majorHAnsi"/>
          <w:bCs/>
          <w:i/>
          <w:iCs/>
        </w:rPr>
        <w:t>Decisioni</w:t>
      </w:r>
      <w:r w:rsidR="005654C0" w:rsidRPr="00E9207E">
        <w:rPr>
          <w:rFonts w:asciiTheme="majorHAnsi" w:hAnsiTheme="majorHAnsi" w:cstheme="majorHAnsi"/>
          <w:bCs/>
          <w:i/>
          <w:iCs/>
        </w:rPr>
        <w:t xml:space="preserve"> prese s</w:t>
      </w:r>
      <w:r w:rsidR="004B605A" w:rsidRPr="00E9207E">
        <w:rPr>
          <w:rFonts w:asciiTheme="majorHAnsi" w:hAnsiTheme="majorHAnsi" w:cstheme="majorHAnsi"/>
          <w:bCs/>
          <w:i/>
          <w:iCs/>
        </w:rPr>
        <w:t>enza comprendere realmente l’ecatombe che queste scelte genereranno per l’intera filiera dell’edilizia e, soprattutto, sottovalutando totalmente le ripercussioni sociali che queste scelte scellerate produrranno.</w:t>
      </w:r>
    </w:p>
    <w:p w14:paraId="1D31868C" w14:textId="0AA45DB9" w:rsidR="007F305A" w:rsidRPr="00790C64" w:rsidRDefault="007F305A" w:rsidP="007F305A">
      <w:pPr>
        <w:spacing w:after="120"/>
        <w:ind w:left="-284" w:right="284"/>
        <w:jc w:val="both"/>
        <w:rPr>
          <w:rFonts w:asciiTheme="majorHAnsi" w:hAnsiTheme="majorHAnsi" w:cstheme="majorHAnsi"/>
          <w:bCs/>
          <w:i/>
          <w:iCs/>
        </w:rPr>
      </w:pPr>
      <w:r w:rsidRPr="00E9207E">
        <w:rPr>
          <w:rFonts w:asciiTheme="majorHAnsi" w:hAnsiTheme="majorHAnsi" w:cstheme="majorHAnsi"/>
          <w:bCs/>
          <w:i/>
          <w:iCs/>
        </w:rPr>
        <w:t>Tutto in nome di un impatto sul debito pubblico ancora prima di averne reale contezza, dato che Istat non si è ancora espresso riguardo la classificazione dei crediti fiscali</w:t>
      </w:r>
      <w:r w:rsidR="00E9207E" w:rsidRPr="00790C64">
        <w:rPr>
          <w:rFonts w:asciiTheme="majorHAnsi" w:hAnsiTheme="majorHAnsi" w:cstheme="majorHAnsi"/>
          <w:bCs/>
          <w:i/>
          <w:iCs/>
        </w:rPr>
        <w:t>».</w:t>
      </w:r>
    </w:p>
    <w:p w14:paraId="54C305FD" w14:textId="481D3989" w:rsidR="00BB30BD" w:rsidRDefault="00DA393A" w:rsidP="0031452B">
      <w:pPr>
        <w:spacing w:after="120"/>
        <w:ind w:left="-284" w:right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Numerosi studi (ANCE, </w:t>
      </w:r>
      <w:r w:rsidR="0071485D">
        <w:rPr>
          <w:rFonts w:asciiTheme="majorHAnsi" w:hAnsiTheme="majorHAnsi" w:cstheme="majorHAnsi"/>
          <w:bCs/>
        </w:rPr>
        <w:t xml:space="preserve">CNA, </w:t>
      </w:r>
      <w:r>
        <w:rPr>
          <w:rFonts w:asciiTheme="majorHAnsi" w:hAnsiTheme="majorHAnsi" w:cstheme="majorHAnsi"/>
          <w:bCs/>
        </w:rPr>
        <w:t>Nomisma</w:t>
      </w:r>
      <w:r w:rsidR="0071485D">
        <w:rPr>
          <w:rFonts w:asciiTheme="majorHAnsi" w:hAnsiTheme="majorHAnsi" w:cstheme="majorHAnsi"/>
          <w:bCs/>
        </w:rPr>
        <w:t>, Censis</w:t>
      </w:r>
      <w:r>
        <w:rPr>
          <w:rFonts w:asciiTheme="majorHAnsi" w:hAnsiTheme="majorHAnsi" w:cstheme="majorHAnsi"/>
          <w:bCs/>
        </w:rPr>
        <w:t xml:space="preserve"> etc.) hanno illustrato gli effetti positivi dei bonus edilizi sui bilanci nazionali, dimostrando che </w:t>
      </w:r>
      <w:r w:rsidRPr="00BB30BD">
        <w:rPr>
          <w:rFonts w:asciiTheme="majorHAnsi" w:hAnsiTheme="majorHAnsi" w:cstheme="majorHAnsi"/>
          <w:bCs/>
        </w:rPr>
        <w:t>il costo effettivo a carico dello Stato è pari al 53% e che</w:t>
      </w:r>
      <w:r>
        <w:rPr>
          <w:rFonts w:asciiTheme="majorHAnsi" w:hAnsiTheme="majorHAnsi" w:cstheme="majorHAnsi"/>
          <w:bCs/>
        </w:rPr>
        <w:t xml:space="preserve"> i</w:t>
      </w:r>
      <w:r w:rsidRPr="00BB30BD">
        <w:rPr>
          <w:rFonts w:asciiTheme="majorHAnsi" w:hAnsiTheme="majorHAnsi" w:cstheme="majorHAnsi"/>
          <w:bCs/>
        </w:rPr>
        <w:t>l 47% dei crediti fiscali rientra all’erario come nuove tasse, IVA e contributi vari.</w:t>
      </w:r>
    </w:p>
    <w:p w14:paraId="2FCE6778" w14:textId="3BFBDE74" w:rsidR="00DA393A" w:rsidRDefault="00E9207E" w:rsidP="0031452B">
      <w:pPr>
        <w:spacing w:after="120"/>
        <w:ind w:left="-284" w:right="284"/>
        <w:jc w:val="both"/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</w:rPr>
        <w:t>Per i rappresentanti marchigiani del comparto dell’edilizia</w:t>
      </w:r>
      <w:r w:rsidR="00790C64">
        <w:rPr>
          <w:rFonts w:asciiTheme="majorHAnsi" w:hAnsiTheme="majorHAnsi" w:cstheme="majorHAnsi"/>
          <w:bCs/>
        </w:rPr>
        <w:t xml:space="preserve"> e degli impianti</w:t>
      </w:r>
      <w:r>
        <w:rPr>
          <w:rFonts w:asciiTheme="majorHAnsi" w:hAnsiTheme="majorHAnsi" w:cstheme="majorHAnsi"/>
          <w:bCs/>
        </w:rPr>
        <w:t xml:space="preserve"> </w:t>
      </w:r>
      <w:r w:rsidRPr="00790C64">
        <w:rPr>
          <w:rFonts w:asciiTheme="majorHAnsi" w:hAnsiTheme="majorHAnsi" w:cstheme="majorHAnsi"/>
          <w:bCs/>
          <w:i/>
          <w:iCs/>
        </w:rPr>
        <w:t>«c</w:t>
      </w:r>
      <w:r w:rsidR="007F305A" w:rsidRPr="00E9207E">
        <w:rPr>
          <w:rFonts w:asciiTheme="majorHAnsi" w:hAnsiTheme="majorHAnsi" w:cstheme="majorHAnsi"/>
          <w:bCs/>
          <w:i/>
          <w:iCs/>
        </w:rPr>
        <w:t>on il DL pubblicato a tarda notte in G.U. arriva</w:t>
      </w:r>
      <w:r w:rsidRPr="00E9207E">
        <w:rPr>
          <w:rFonts w:asciiTheme="majorHAnsi" w:hAnsiTheme="majorHAnsi" w:cstheme="majorHAnsi"/>
          <w:bCs/>
          <w:i/>
          <w:iCs/>
        </w:rPr>
        <w:t xml:space="preserve"> </w:t>
      </w:r>
      <w:r w:rsidR="007F305A" w:rsidRPr="00E9207E">
        <w:rPr>
          <w:rFonts w:asciiTheme="majorHAnsi" w:hAnsiTheme="majorHAnsi" w:cstheme="majorHAnsi"/>
          <w:bCs/>
          <w:i/>
          <w:iCs/>
        </w:rPr>
        <w:t>u</w:t>
      </w:r>
      <w:r w:rsidR="00DA393A" w:rsidRPr="00E9207E">
        <w:rPr>
          <w:rFonts w:asciiTheme="majorHAnsi" w:hAnsiTheme="majorHAnsi" w:cstheme="majorHAnsi"/>
          <w:bCs/>
          <w:i/>
          <w:iCs/>
        </w:rPr>
        <w:t xml:space="preserve">n </w:t>
      </w:r>
      <w:r w:rsidRPr="00E9207E">
        <w:rPr>
          <w:rFonts w:asciiTheme="majorHAnsi" w:hAnsiTheme="majorHAnsi" w:cstheme="majorHAnsi"/>
          <w:bCs/>
          <w:i/>
          <w:iCs/>
        </w:rPr>
        <w:t>“</w:t>
      </w:r>
      <w:r w:rsidR="00DA393A" w:rsidRPr="00E9207E">
        <w:rPr>
          <w:rFonts w:asciiTheme="majorHAnsi" w:hAnsiTheme="majorHAnsi" w:cstheme="majorHAnsi"/>
          <w:bCs/>
          <w:i/>
          <w:iCs/>
        </w:rPr>
        <w:t>sentito riconoscimento</w:t>
      </w:r>
      <w:r w:rsidRPr="00E9207E">
        <w:rPr>
          <w:rFonts w:asciiTheme="majorHAnsi" w:hAnsiTheme="majorHAnsi" w:cstheme="majorHAnsi"/>
          <w:bCs/>
          <w:i/>
          <w:iCs/>
        </w:rPr>
        <w:t>”</w:t>
      </w:r>
      <w:r w:rsidR="00247C5D" w:rsidRPr="00E9207E">
        <w:rPr>
          <w:rFonts w:asciiTheme="majorHAnsi" w:hAnsiTheme="majorHAnsi" w:cstheme="majorHAnsi"/>
          <w:bCs/>
          <w:i/>
          <w:iCs/>
        </w:rPr>
        <w:t xml:space="preserve"> da</w:t>
      </w:r>
      <w:r w:rsidR="005B5C95" w:rsidRPr="00E9207E">
        <w:rPr>
          <w:rFonts w:asciiTheme="majorHAnsi" w:hAnsiTheme="majorHAnsi" w:cstheme="majorHAnsi"/>
          <w:bCs/>
          <w:i/>
          <w:iCs/>
        </w:rPr>
        <w:t xml:space="preserve"> parte del Governo </w:t>
      </w:r>
      <w:r w:rsidR="00DA393A" w:rsidRPr="00E9207E">
        <w:rPr>
          <w:rFonts w:asciiTheme="majorHAnsi" w:hAnsiTheme="majorHAnsi" w:cstheme="majorHAnsi"/>
          <w:bCs/>
          <w:i/>
          <w:iCs/>
        </w:rPr>
        <w:t xml:space="preserve">al </w:t>
      </w:r>
      <w:r w:rsidR="00BB30BD" w:rsidRPr="00E9207E">
        <w:rPr>
          <w:rFonts w:asciiTheme="majorHAnsi" w:hAnsiTheme="majorHAnsi" w:cstheme="majorHAnsi"/>
          <w:bCs/>
          <w:i/>
          <w:iCs/>
        </w:rPr>
        <w:t>settore delle costruzioni</w:t>
      </w:r>
      <w:r w:rsidR="00DA393A" w:rsidRPr="00E9207E">
        <w:rPr>
          <w:rFonts w:asciiTheme="majorHAnsi" w:hAnsiTheme="majorHAnsi" w:cstheme="majorHAnsi"/>
          <w:bCs/>
          <w:i/>
          <w:iCs/>
        </w:rPr>
        <w:t xml:space="preserve"> che</w:t>
      </w:r>
      <w:r w:rsidR="00BB30BD" w:rsidRPr="00E9207E">
        <w:rPr>
          <w:rFonts w:asciiTheme="majorHAnsi" w:hAnsiTheme="majorHAnsi" w:cstheme="majorHAnsi"/>
          <w:bCs/>
          <w:i/>
          <w:iCs/>
        </w:rPr>
        <w:t xml:space="preserve">, sfruttando il suo elevato effetto moltiplicatore </w:t>
      </w:r>
      <w:r w:rsidR="00BB30BD" w:rsidRPr="00E9207E">
        <w:rPr>
          <w:rFonts w:asciiTheme="majorHAnsi" w:hAnsiTheme="majorHAnsi" w:cstheme="majorHAnsi"/>
          <w:bCs/>
        </w:rPr>
        <w:t>– 1 euro investito nelle costruzioni ne produce 3,5 nell’economia e attiva circa 16.000 posti di lavoro –</w:t>
      </w:r>
      <w:r w:rsidR="00BB30BD" w:rsidRPr="00E9207E">
        <w:rPr>
          <w:rFonts w:asciiTheme="majorHAnsi" w:hAnsiTheme="majorHAnsi" w:cstheme="majorHAnsi"/>
          <w:bCs/>
          <w:i/>
          <w:iCs/>
        </w:rPr>
        <w:t xml:space="preserve"> </w:t>
      </w:r>
      <w:r w:rsidR="00DA393A" w:rsidRPr="00E9207E">
        <w:rPr>
          <w:rFonts w:asciiTheme="majorHAnsi" w:hAnsiTheme="majorHAnsi" w:cstheme="majorHAnsi"/>
          <w:bCs/>
          <w:i/>
          <w:iCs/>
        </w:rPr>
        <w:t xml:space="preserve">ha </w:t>
      </w:r>
      <w:r w:rsidR="007F305A" w:rsidRPr="00E9207E">
        <w:rPr>
          <w:rFonts w:asciiTheme="majorHAnsi" w:hAnsiTheme="majorHAnsi" w:cstheme="majorHAnsi"/>
          <w:bCs/>
          <w:i/>
          <w:iCs/>
        </w:rPr>
        <w:t xml:space="preserve">largamente </w:t>
      </w:r>
      <w:r w:rsidR="00DA393A" w:rsidRPr="00E9207E">
        <w:rPr>
          <w:rFonts w:asciiTheme="majorHAnsi" w:hAnsiTheme="majorHAnsi" w:cstheme="majorHAnsi"/>
          <w:bCs/>
          <w:i/>
          <w:iCs/>
        </w:rPr>
        <w:t>riprovato</w:t>
      </w:r>
      <w:r w:rsidR="00BB30BD" w:rsidRPr="00E9207E">
        <w:rPr>
          <w:rFonts w:asciiTheme="majorHAnsi" w:hAnsiTheme="majorHAnsi" w:cstheme="majorHAnsi"/>
          <w:bCs/>
          <w:i/>
          <w:iCs/>
        </w:rPr>
        <w:t xml:space="preserve"> il ruolo strategico </w:t>
      </w:r>
      <w:r w:rsidRPr="00E9207E">
        <w:rPr>
          <w:rFonts w:asciiTheme="majorHAnsi" w:hAnsiTheme="majorHAnsi" w:cstheme="majorHAnsi"/>
          <w:bCs/>
          <w:i/>
          <w:iCs/>
        </w:rPr>
        <w:t xml:space="preserve">rivestito </w:t>
      </w:r>
      <w:r w:rsidR="007F305A" w:rsidRPr="00E9207E">
        <w:rPr>
          <w:rFonts w:asciiTheme="majorHAnsi" w:hAnsiTheme="majorHAnsi" w:cstheme="majorHAnsi"/>
          <w:bCs/>
          <w:i/>
          <w:iCs/>
        </w:rPr>
        <w:t>per</w:t>
      </w:r>
      <w:r w:rsidR="00DA393A" w:rsidRPr="00E9207E">
        <w:rPr>
          <w:rFonts w:asciiTheme="majorHAnsi" w:hAnsiTheme="majorHAnsi" w:cstheme="majorHAnsi"/>
          <w:bCs/>
          <w:i/>
          <w:iCs/>
        </w:rPr>
        <w:t xml:space="preserve"> traghettare il paese fuori dalla crisi </w:t>
      </w:r>
      <w:r w:rsidR="00BB30BD" w:rsidRPr="00E9207E">
        <w:rPr>
          <w:rFonts w:asciiTheme="majorHAnsi" w:hAnsiTheme="majorHAnsi" w:cstheme="majorHAnsi"/>
          <w:bCs/>
          <w:i/>
          <w:iCs/>
        </w:rPr>
        <w:t>economi</w:t>
      </w:r>
      <w:r w:rsidR="005F3E46">
        <w:rPr>
          <w:rFonts w:asciiTheme="majorHAnsi" w:hAnsiTheme="majorHAnsi" w:cstheme="majorHAnsi"/>
          <w:bCs/>
          <w:i/>
          <w:iCs/>
        </w:rPr>
        <w:t>c</w:t>
      </w:r>
      <w:r w:rsidR="00BB30BD" w:rsidRPr="00E9207E">
        <w:rPr>
          <w:rFonts w:asciiTheme="majorHAnsi" w:hAnsiTheme="majorHAnsi" w:cstheme="majorHAnsi"/>
          <w:bCs/>
          <w:i/>
          <w:iCs/>
        </w:rPr>
        <w:t xml:space="preserve">a </w:t>
      </w:r>
      <w:r w:rsidR="00DA393A" w:rsidRPr="00E9207E">
        <w:rPr>
          <w:rFonts w:asciiTheme="majorHAnsi" w:hAnsiTheme="majorHAnsi" w:cstheme="majorHAnsi"/>
          <w:bCs/>
          <w:i/>
          <w:iCs/>
        </w:rPr>
        <w:t>innescata dalla pandemia</w:t>
      </w:r>
      <w:r w:rsidRPr="00790C64">
        <w:rPr>
          <w:rFonts w:asciiTheme="majorHAnsi" w:hAnsiTheme="majorHAnsi" w:cstheme="majorHAnsi"/>
          <w:bCs/>
          <w:i/>
          <w:iCs/>
        </w:rPr>
        <w:t>»</w:t>
      </w:r>
      <w:r w:rsidRPr="00E9207E">
        <w:rPr>
          <w:rFonts w:asciiTheme="majorHAnsi" w:hAnsiTheme="majorHAnsi" w:cstheme="majorHAnsi"/>
          <w:bCs/>
          <w:i/>
          <w:iCs/>
        </w:rPr>
        <w:t>.</w:t>
      </w:r>
    </w:p>
    <w:p w14:paraId="300D1F4C" w14:textId="50368543" w:rsidR="00633318" w:rsidRPr="00633318" w:rsidRDefault="00E9207E" w:rsidP="00C7777D">
      <w:pPr>
        <w:spacing w:after="120"/>
        <w:ind w:left="-284" w:right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Stiamo parlando del Decreto Legge 16 febbraio 2023 n.11, che all’art. 1 vieta la possibilità </w:t>
      </w:r>
      <w:r w:rsidR="00633318">
        <w:rPr>
          <w:rFonts w:asciiTheme="majorHAnsi" w:hAnsiTheme="majorHAnsi" w:cstheme="majorHAnsi"/>
          <w:bCs/>
        </w:rPr>
        <w:t>alle</w:t>
      </w:r>
      <w:r>
        <w:rPr>
          <w:rFonts w:asciiTheme="majorHAnsi" w:hAnsiTheme="majorHAnsi" w:cstheme="majorHAnsi"/>
          <w:bCs/>
        </w:rPr>
        <w:t xml:space="preserve"> amministrazioni pubbliche</w:t>
      </w:r>
      <w:r w:rsidR="00633318">
        <w:rPr>
          <w:rFonts w:asciiTheme="majorHAnsi" w:hAnsiTheme="majorHAnsi" w:cstheme="majorHAnsi"/>
          <w:bCs/>
        </w:rPr>
        <w:t xml:space="preserve"> di essere cessionari</w:t>
      </w:r>
      <w:r w:rsidR="00790C64">
        <w:rPr>
          <w:rFonts w:asciiTheme="majorHAnsi" w:hAnsiTheme="majorHAnsi" w:cstheme="majorHAnsi"/>
          <w:bCs/>
        </w:rPr>
        <w:t xml:space="preserve"> e</w:t>
      </w:r>
      <w:r w:rsidR="00633318">
        <w:rPr>
          <w:rFonts w:asciiTheme="majorHAnsi" w:hAnsiTheme="majorHAnsi" w:cstheme="majorHAnsi"/>
          <w:bCs/>
        </w:rPr>
        <w:t xml:space="preserve"> chiarisce il tema del </w:t>
      </w:r>
      <w:r w:rsidR="00DD01A9" w:rsidRPr="00DD01A9">
        <w:rPr>
          <w:rFonts w:asciiTheme="majorHAnsi" w:hAnsiTheme="majorHAnsi" w:cstheme="majorHAnsi"/>
          <w:bCs/>
        </w:rPr>
        <w:t xml:space="preserve">"concorso in violazione" </w:t>
      </w:r>
      <w:r w:rsidR="001D5551">
        <w:rPr>
          <w:rFonts w:asciiTheme="majorHAnsi" w:hAnsiTheme="majorHAnsi" w:cstheme="majorHAnsi"/>
          <w:bCs/>
        </w:rPr>
        <w:t xml:space="preserve">del cessionario </w:t>
      </w:r>
      <w:r w:rsidR="00633318">
        <w:rPr>
          <w:rFonts w:asciiTheme="majorHAnsi" w:hAnsiTheme="majorHAnsi" w:cstheme="majorHAnsi"/>
          <w:bCs/>
        </w:rPr>
        <w:t xml:space="preserve">nel caso </w:t>
      </w:r>
      <w:r w:rsidR="00D74F2B">
        <w:rPr>
          <w:rFonts w:asciiTheme="majorHAnsi" w:hAnsiTheme="majorHAnsi" w:cstheme="majorHAnsi"/>
          <w:bCs/>
        </w:rPr>
        <w:t>in cui abbia svolto con diligenza</w:t>
      </w:r>
      <w:r w:rsidR="00633318">
        <w:rPr>
          <w:rFonts w:asciiTheme="majorHAnsi" w:hAnsiTheme="majorHAnsi" w:cstheme="majorHAnsi"/>
          <w:bCs/>
        </w:rPr>
        <w:t xml:space="preserve"> le procedure di controllo</w:t>
      </w:r>
      <w:r w:rsidR="00D74F2B">
        <w:rPr>
          <w:rFonts w:asciiTheme="majorHAnsi" w:hAnsiTheme="majorHAnsi" w:cstheme="majorHAnsi"/>
          <w:bCs/>
        </w:rPr>
        <w:t xml:space="preserve"> della documentazione. </w:t>
      </w:r>
      <w:r w:rsidR="00C7777D">
        <w:rPr>
          <w:rFonts w:asciiTheme="majorHAnsi" w:hAnsiTheme="majorHAnsi" w:cstheme="majorHAnsi"/>
          <w:bCs/>
        </w:rPr>
        <w:t>Le</w:t>
      </w:r>
      <w:r w:rsidR="00D74F2B">
        <w:rPr>
          <w:rFonts w:asciiTheme="majorHAnsi" w:hAnsiTheme="majorHAnsi" w:cstheme="majorHAnsi"/>
          <w:bCs/>
        </w:rPr>
        <w:t xml:space="preserve"> disposizioni introdotte dall’art. </w:t>
      </w:r>
      <w:r w:rsidR="00040CA1">
        <w:rPr>
          <w:rFonts w:asciiTheme="majorHAnsi" w:hAnsiTheme="majorHAnsi" w:cstheme="majorHAnsi"/>
          <w:bCs/>
        </w:rPr>
        <w:t>2,</w:t>
      </w:r>
      <w:r w:rsidR="00790C64">
        <w:rPr>
          <w:rFonts w:asciiTheme="majorHAnsi" w:hAnsiTheme="majorHAnsi" w:cstheme="majorHAnsi"/>
          <w:bCs/>
        </w:rPr>
        <w:t xml:space="preserve"> invece, </w:t>
      </w:r>
      <w:r w:rsidR="00D74F2B">
        <w:rPr>
          <w:rFonts w:asciiTheme="majorHAnsi" w:hAnsiTheme="majorHAnsi" w:cstheme="majorHAnsi"/>
          <w:bCs/>
        </w:rPr>
        <w:t>prevedono</w:t>
      </w:r>
      <w:r w:rsidR="00790C64">
        <w:rPr>
          <w:rFonts w:asciiTheme="majorHAnsi" w:hAnsiTheme="majorHAnsi" w:cstheme="majorHAnsi"/>
          <w:bCs/>
        </w:rPr>
        <w:t xml:space="preserve"> </w:t>
      </w:r>
      <w:r w:rsidR="00D74F2B">
        <w:rPr>
          <w:rFonts w:asciiTheme="majorHAnsi" w:hAnsiTheme="majorHAnsi" w:cstheme="majorHAnsi"/>
          <w:bCs/>
        </w:rPr>
        <w:t>il blocco di qualunque operazione di cessione del credito, fatt</w:t>
      </w:r>
      <w:r w:rsidR="00790C64">
        <w:rPr>
          <w:rFonts w:asciiTheme="majorHAnsi" w:hAnsiTheme="majorHAnsi" w:cstheme="majorHAnsi"/>
          <w:bCs/>
        </w:rPr>
        <w:t>i</w:t>
      </w:r>
      <w:r w:rsidR="00D74F2B">
        <w:rPr>
          <w:rFonts w:asciiTheme="majorHAnsi" w:hAnsiTheme="majorHAnsi" w:cstheme="majorHAnsi"/>
          <w:bCs/>
        </w:rPr>
        <w:t xml:space="preserve"> salvi gl’interventi per i quali</w:t>
      </w:r>
      <w:r w:rsidR="00C7777D">
        <w:rPr>
          <w:rFonts w:asciiTheme="majorHAnsi" w:hAnsiTheme="majorHAnsi" w:cstheme="majorHAnsi"/>
          <w:bCs/>
        </w:rPr>
        <w:t xml:space="preserve">, anteriormente alla data di entrata in vigore della norma, </w:t>
      </w:r>
      <w:r w:rsidR="00D74F2B">
        <w:rPr>
          <w:rFonts w:asciiTheme="majorHAnsi" w:hAnsiTheme="majorHAnsi" w:cstheme="majorHAnsi"/>
          <w:bCs/>
        </w:rPr>
        <w:t xml:space="preserve">risultino presentati </w:t>
      </w:r>
      <w:r w:rsidR="00C7777D">
        <w:rPr>
          <w:rFonts w:asciiTheme="majorHAnsi" w:hAnsiTheme="majorHAnsi" w:cstheme="majorHAnsi"/>
          <w:bCs/>
        </w:rPr>
        <w:t>i relativi titoli abilitativi o comunicazione d’inizio lavori e, nel caso del sismabonus acquisti, r</w:t>
      </w:r>
      <w:r w:rsidR="00C7777D" w:rsidRPr="00C7777D">
        <w:rPr>
          <w:rFonts w:asciiTheme="majorHAnsi" w:hAnsiTheme="majorHAnsi" w:cstheme="majorHAnsi"/>
          <w:bCs/>
        </w:rPr>
        <w:t xml:space="preserve">isulti regolarmente registrato </w:t>
      </w:r>
      <w:r w:rsidR="00DD01A9" w:rsidRPr="00C7777D">
        <w:rPr>
          <w:rFonts w:asciiTheme="majorHAnsi" w:hAnsiTheme="majorHAnsi" w:cstheme="majorHAnsi"/>
          <w:bCs/>
        </w:rPr>
        <w:t>il contratto</w:t>
      </w:r>
      <w:r w:rsidR="00C7777D">
        <w:rPr>
          <w:rFonts w:asciiTheme="majorHAnsi" w:hAnsiTheme="majorHAnsi" w:cstheme="majorHAnsi"/>
          <w:bCs/>
        </w:rPr>
        <w:t xml:space="preserve"> </w:t>
      </w:r>
      <w:r w:rsidR="00C7777D" w:rsidRPr="00C7777D">
        <w:rPr>
          <w:rFonts w:asciiTheme="majorHAnsi" w:hAnsiTheme="majorHAnsi" w:cstheme="majorHAnsi"/>
          <w:bCs/>
        </w:rPr>
        <w:t>preliminare</w:t>
      </w:r>
      <w:r w:rsidR="00C7777D">
        <w:rPr>
          <w:rFonts w:asciiTheme="majorHAnsi" w:hAnsiTheme="majorHAnsi" w:cstheme="majorHAnsi"/>
          <w:bCs/>
        </w:rPr>
        <w:t xml:space="preserve"> o </w:t>
      </w:r>
      <w:r w:rsidR="00C7777D" w:rsidRPr="00C7777D">
        <w:rPr>
          <w:rFonts w:asciiTheme="majorHAnsi" w:hAnsiTheme="majorHAnsi" w:cstheme="majorHAnsi"/>
          <w:bCs/>
        </w:rPr>
        <w:t>stipulato</w:t>
      </w:r>
      <w:r w:rsidR="00C7777D">
        <w:rPr>
          <w:rFonts w:asciiTheme="majorHAnsi" w:hAnsiTheme="majorHAnsi" w:cstheme="majorHAnsi"/>
          <w:bCs/>
        </w:rPr>
        <w:t xml:space="preserve"> </w:t>
      </w:r>
      <w:r w:rsidR="00B878D0">
        <w:rPr>
          <w:rFonts w:asciiTheme="majorHAnsi" w:hAnsiTheme="majorHAnsi" w:cstheme="majorHAnsi"/>
          <w:bCs/>
        </w:rPr>
        <w:t>il rogito</w:t>
      </w:r>
      <w:r w:rsidR="00C7777D">
        <w:rPr>
          <w:rFonts w:asciiTheme="majorHAnsi" w:hAnsiTheme="majorHAnsi" w:cstheme="majorHAnsi"/>
          <w:bCs/>
        </w:rPr>
        <w:t xml:space="preserve"> </w:t>
      </w:r>
      <w:r w:rsidR="00C7777D" w:rsidRPr="00C7777D">
        <w:rPr>
          <w:rFonts w:asciiTheme="majorHAnsi" w:hAnsiTheme="majorHAnsi" w:cstheme="majorHAnsi"/>
          <w:bCs/>
        </w:rPr>
        <w:t>di</w:t>
      </w:r>
      <w:r w:rsidR="00C7777D">
        <w:rPr>
          <w:rFonts w:asciiTheme="majorHAnsi" w:hAnsiTheme="majorHAnsi" w:cstheme="majorHAnsi"/>
          <w:bCs/>
        </w:rPr>
        <w:t xml:space="preserve"> </w:t>
      </w:r>
      <w:r w:rsidR="00C7777D" w:rsidRPr="00C7777D">
        <w:rPr>
          <w:rFonts w:asciiTheme="majorHAnsi" w:hAnsiTheme="majorHAnsi" w:cstheme="majorHAnsi"/>
          <w:bCs/>
        </w:rPr>
        <w:t>compravendita</w:t>
      </w:r>
      <w:r w:rsidR="00C7777D">
        <w:rPr>
          <w:rFonts w:asciiTheme="majorHAnsi" w:hAnsiTheme="majorHAnsi" w:cstheme="majorHAnsi"/>
          <w:bCs/>
        </w:rPr>
        <w:t xml:space="preserve"> </w:t>
      </w:r>
      <w:r w:rsidR="00C7777D" w:rsidRPr="00C7777D">
        <w:rPr>
          <w:rFonts w:asciiTheme="majorHAnsi" w:hAnsiTheme="majorHAnsi" w:cstheme="majorHAnsi"/>
          <w:bCs/>
        </w:rPr>
        <w:t>dell'</w:t>
      </w:r>
      <w:r w:rsidR="00B878D0">
        <w:rPr>
          <w:rFonts w:asciiTheme="majorHAnsi" w:hAnsiTheme="majorHAnsi" w:cstheme="majorHAnsi"/>
          <w:bCs/>
        </w:rPr>
        <w:t xml:space="preserve">unità </w:t>
      </w:r>
      <w:r w:rsidR="00C7777D" w:rsidRPr="00C7777D">
        <w:rPr>
          <w:rFonts w:asciiTheme="majorHAnsi" w:hAnsiTheme="majorHAnsi" w:cstheme="majorHAnsi"/>
          <w:bCs/>
        </w:rPr>
        <w:t>immobil</w:t>
      </w:r>
      <w:r w:rsidR="00B878D0">
        <w:rPr>
          <w:rFonts w:asciiTheme="majorHAnsi" w:hAnsiTheme="majorHAnsi" w:cstheme="majorHAnsi"/>
          <w:bCs/>
        </w:rPr>
        <w:t>iare</w:t>
      </w:r>
      <w:r w:rsidR="00C7777D">
        <w:rPr>
          <w:rFonts w:asciiTheme="majorHAnsi" w:hAnsiTheme="majorHAnsi" w:cstheme="majorHAnsi"/>
          <w:bCs/>
        </w:rPr>
        <w:t xml:space="preserve">. </w:t>
      </w:r>
    </w:p>
    <w:p w14:paraId="504FC83A" w14:textId="02766C26" w:rsidR="00E9207E" w:rsidRPr="00E9207E" w:rsidRDefault="00E9207E" w:rsidP="0031452B">
      <w:pPr>
        <w:spacing w:after="120"/>
        <w:ind w:left="-284" w:right="284"/>
        <w:jc w:val="both"/>
        <w:rPr>
          <w:rFonts w:asciiTheme="majorHAnsi" w:hAnsiTheme="majorHAnsi" w:cstheme="majorHAnsi"/>
          <w:bCs/>
        </w:rPr>
      </w:pPr>
    </w:p>
    <w:p w14:paraId="2D4C56E5" w14:textId="40CA47DF" w:rsidR="0031452B" w:rsidRDefault="00BB30BD" w:rsidP="0031452B">
      <w:pPr>
        <w:spacing w:after="120"/>
        <w:ind w:left="-284" w:right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Il</w:t>
      </w:r>
      <w:r w:rsidR="00C7777D">
        <w:rPr>
          <w:rFonts w:asciiTheme="majorHAnsi" w:hAnsiTheme="majorHAnsi" w:cstheme="majorHAnsi"/>
          <w:bCs/>
        </w:rPr>
        <w:t xml:space="preserve"> problema principale risiede nello stop al</w:t>
      </w:r>
      <w:r>
        <w:rPr>
          <w:rFonts w:asciiTheme="majorHAnsi" w:hAnsiTheme="majorHAnsi" w:cstheme="majorHAnsi"/>
          <w:bCs/>
        </w:rPr>
        <w:t xml:space="preserve"> meccanismo delle cessioni </w:t>
      </w:r>
      <w:r w:rsidR="00C7777D">
        <w:rPr>
          <w:rFonts w:asciiTheme="majorHAnsi" w:hAnsiTheme="majorHAnsi" w:cstheme="majorHAnsi"/>
          <w:bCs/>
        </w:rPr>
        <w:t xml:space="preserve">che secondo le Associazioni </w:t>
      </w:r>
      <w:r w:rsidR="00C7777D" w:rsidRPr="00790C64">
        <w:rPr>
          <w:rFonts w:asciiTheme="majorHAnsi" w:hAnsiTheme="majorHAnsi" w:cstheme="majorHAnsi"/>
          <w:bCs/>
          <w:i/>
          <w:iCs/>
        </w:rPr>
        <w:t>«</w:t>
      </w:r>
      <w:r w:rsidR="00DA393A" w:rsidRPr="006E4C13">
        <w:rPr>
          <w:rFonts w:asciiTheme="majorHAnsi" w:hAnsiTheme="majorHAnsi" w:cstheme="majorHAnsi"/>
          <w:bCs/>
          <w:i/>
          <w:iCs/>
        </w:rPr>
        <w:t>rappresenta lo strumento essenziale per far funzionare le misure d’incentivazione fiscale per il recupero del patrimonio edilizio esistente</w:t>
      </w:r>
      <w:r w:rsidR="005B5C95" w:rsidRPr="006E4C13">
        <w:rPr>
          <w:rFonts w:asciiTheme="majorHAnsi" w:hAnsiTheme="majorHAnsi" w:cstheme="majorHAnsi"/>
          <w:bCs/>
          <w:i/>
          <w:iCs/>
        </w:rPr>
        <w:t>, senza questo si blocca tutto</w:t>
      </w:r>
      <w:r w:rsidR="006E4C13" w:rsidRPr="00790C64">
        <w:rPr>
          <w:rFonts w:asciiTheme="majorHAnsi" w:hAnsiTheme="majorHAnsi" w:cstheme="majorHAnsi"/>
          <w:bCs/>
          <w:i/>
          <w:iCs/>
        </w:rPr>
        <w:t>»</w:t>
      </w:r>
      <w:r w:rsidR="005B5C95" w:rsidRPr="006E4C13">
        <w:rPr>
          <w:rFonts w:asciiTheme="majorHAnsi" w:hAnsiTheme="majorHAnsi" w:cstheme="majorHAnsi"/>
          <w:bCs/>
          <w:i/>
          <w:iCs/>
        </w:rPr>
        <w:t>.</w:t>
      </w:r>
    </w:p>
    <w:p w14:paraId="1420B761" w14:textId="623CE618" w:rsidR="00DA393A" w:rsidRPr="006E4C13" w:rsidRDefault="006E4C13" w:rsidP="006E4C13">
      <w:pPr>
        <w:ind w:left="-284" w:right="284"/>
        <w:jc w:val="both"/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</w:rPr>
        <w:t xml:space="preserve">Pertanto </w:t>
      </w:r>
      <w:r w:rsidRPr="00790C64">
        <w:rPr>
          <w:rFonts w:asciiTheme="majorHAnsi" w:hAnsiTheme="majorHAnsi" w:cstheme="majorHAnsi"/>
          <w:bCs/>
          <w:i/>
          <w:iCs/>
        </w:rPr>
        <w:t>«</w:t>
      </w:r>
      <w:r w:rsidRPr="006E4C13">
        <w:rPr>
          <w:rFonts w:asciiTheme="majorHAnsi" w:hAnsiTheme="majorHAnsi" w:cstheme="majorHAnsi"/>
          <w:bCs/>
          <w:i/>
          <w:iCs/>
        </w:rPr>
        <w:t>s</w:t>
      </w:r>
      <w:r w:rsidR="00DA393A" w:rsidRPr="006E4C13">
        <w:rPr>
          <w:rFonts w:asciiTheme="majorHAnsi" w:hAnsiTheme="majorHAnsi" w:cstheme="majorHAnsi"/>
          <w:bCs/>
          <w:i/>
          <w:iCs/>
        </w:rPr>
        <w:t>erve un dietrofront immediato</w:t>
      </w:r>
      <w:r w:rsidR="005B5C95" w:rsidRPr="006E4C13">
        <w:rPr>
          <w:rFonts w:asciiTheme="majorHAnsi" w:hAnsiTheme="majorHAnsi" w:cstheme="majorHAnsi"/>
          <w:bCs/>
          <w:i/>
          <w:iCs/>
        </w:rPr>
        <w:t>, a</w:t>
      </w:r>
      <w:r w:rsidR="00DA393A" w:rsidRPr="006E4C13">
        <w:rPr>
          <w:rFonts w:asciiTheme="majorHAnsi" w:hAnsiTheme="majorHAnsi" w:cstheme="majorHAnsi"/>
          <w:bCs/>
          <w:i/>
          <w:iCs/>
        </w:rPr>
        <w:t xml:space="preserve">ltrimenti </w:t>
      </w:r>
      <w:r w:rsidR="005B5C95" w:rsidRPr="006E4C13">
        <w:rPr>
          <w:rFonts w:asciiTheme="majorHAnsi" w:hAnsiTheme="majorHAnsi" w:cstheme="majorHAnsi"/>
          <w:bCs/>
          <w:i/>
          <w:iCs/>
        </w:rPr>
        <w:t>non raggiungeremo mai gli</w:t>
      </w:r>
      <w:r w:rsidR="00DA393A" w:rsidRPr="006E4C13">
        <w:rPr>
          <w:rFonts w:asciiTheme="majorHAnsi" w:hAnsiTheme="majorHAnsi" w:cstheme="majorHAnsi"/>
          <w:bCs/>
          <w:i/>
          <w:iCs/>
        </w:rPr>
        <w:t xml:space="preserve"> obiettivi </w:t>
      </w:r>
      <w:r w:rsidRPr="006E4C13">
        <w:rPr>
          <w:rFonts w:asciiTheme="majorHAnsi" w:hAnsiTheme="majorHAnsi" w:cstheme="majorHAnsi"/>
          <w:bCs/>
          <w:i/>
          <w:iCs/>
        </w:rPr>
        <w:t>del “FitFor55”</w:t>
      </w:r>
      <w:r w:rsidR="00DA393A" w:rsidRPr="006E4C13">
        <w:rPr>
          <w:rFonts w:asciiTheme="majorHAnsi" w:hAnsiTheme="majorHAnsi" w:cstheme="majorHAnsi"/>
          <w:bCs/>
          <w:i/>
          <w:iCs/>
        </w:rPr>
        <w:t xml:space="preserve"> che richiederanno all’Italia di circa 1’100 mld di euro</w:t>
      </w:r>
      <w:r w:rsidR="005B5C95" w:rsidRPr="006E4C13">
        <w:rPr>
          <w:rFonts w:asciiTheme="majorHAnsi" w:hAnsiTheme="majorHAnsi" w:cstheme="majorHAnsi"/>
          <w:bCs/>
          <w:i/>
          <w:iCs/>
        </w:rPr>
        <w:t xml:space="preserve"> e </w:t>
      </w:r>
      <w:r w:rsidR="00DA393A" w:rsidRPr="006E4C13">
        <w:rPr>
          <w:rFonts w:asciiTheme="majorHAnsi" w:hAnsiTheme="majorHAnsi" w:cstheme="majorHAnsi"/>
          <w:bCs/>
          <w:i/>
          <w:iCs/>
        </w:rPr>
        <w:t>che mirano a sostituire le fonti fossili con il vettore elettrico.</w:t>
      </w:r>
    </w:p>
    <w:p w14:paraId="203E9514" w14:textId="6E6E214C" w:rsidR="005B5C95" w:rsidRPr="00790C64" w:rsidRDefault="005B5C95" w:rsidP="0031452B">
      <w:pPr>
        <w:spacing w:after="120"/>
        <w:ind w:left="-284" w:right="284"/>
        <w:jc w:val="both"/>
        <w:rPr>
          <w:rFonts w:asciiTheme="majorHAnsi" w:hAnsiTheme="majorHAnsi" w:cstheme="majorHAnsi"/>
          <w:bCs/>
          <w:i/>
          <w:iCs/>
        </w:rPr>
      </w:pPr>
      <w:r w:rsidRPr="006E4C13">
        <w:rPr>
          <w:rFonts w:asciiTheme="majorHAnsi" w:hAnsiTheme="majorHAnsi" w:cstheme="majorHAnsi"/>
          <w:bCs/>
          <w:i/>
          <w:iCs/>
        </w:rPr>
        <w:t>D</w:t>
      </w:r>
      <w:r w:rsidR="00DA393A" w:rsidRPr="006E4C13">
        <w:rPr>
          <w:rFonts w:asciiTheme="majorHAnsi" w:hAnsiTheme="majorHAnsi" w:cstheme="majorHAnsi"/>
          <w:bCs/>
          <w:i/>
          <w:iCs/>
        </w:rPr>
        <w:t xml:space="preserve">ecarbonizzare gli edifici residenziali più energivori entro il 2050, </w:t>
      </w:r>
      <w:r w:rsidRPr="006E4C13">
        <w:rPr>
          <w:rFonts w:asciiTheme="majorHAnsi" w:hAnsiTheme="majorHAnsi" w:cstheme="majorHAnsi"/>
          <w:bCs/>
          <w:i/>
          <w:iCs/>
        </w:rPr>
        <w:t xml:space="preserve">solo </w:t>
      </w:r>
      <w:r w:rsidR="00DA393A" w:rsidRPr="006E4C13">
        <w:rPr>
          <w:rFonts w:asciiTheme="majorHAnsi" w:hAnsiTheme="majorHAnsi" w:cstheme="majorHAnsi"/>
          <w:bCs/>
          <w:i/>
          <w:iCs/>
        </w:rPr>
        <w:t>nella nostra regione, significa intervenire su 275’00</w:t>
      </w:r>
      <w:r w:rsidR="00247C5D" w:rsidRPr="006E4C13">
        <w:rPr>
          <w:rFonts w:asciiTheme="majorHAnsi" w:hAnsiTheme="majorHAnsi" w:cstheme="majorHAnsi"/>
          <w:bCs/>
          <w:i/>
          <w:iCs/>
        </w:rPr>
        <w:t>0</w:t>
      </w:r>
      <w:r w:rsidR="00DA393A" w:rsidRPr="006E4C13">
        <w:rPr>
          <w:rFonts w:asciiTheme="majorHAnsi" w:hAnsiTheme="majorHAnsi" w:cstheme="majorHAnsi"/>
          <w:bCs/>
          <w:i/>
          <w:iCs/>
        </w:rPr>
        <w:t xml:space="preserve"> edifici (367 633 edifici totali da ISTAT di cui più dell’75% si trova nelle classi energetiche </w:t>
      </w:r>
      <w:r w:rsidR="000624F9">
        <w:rPr>
          <w:rFonts w:asciiTheme="majorHAnsi" w:hAnsiTheme="majorHAnsi" w:cstheme="majorHAnsi"/>
          <w:bCs/>
          <w:i/>
          <w:iCs/>
        </w:rPr>
        <w:t xml:space="preserve">D, </w:t>
      </w:r>
      <w:r w:rsidR="00DA393A" w:rsidRPr="006E4C13">
        <w:rPr>
          <w:rFonts w:asciiTheme="majorHAnsi" w:hAnsiTheme="majorHAnsi" w:cstheme="majorHAnsi"/>
          <w:bCs/>
          <w:i/>
          <w:iCs/>
        </w:rPr>
        <w:t>E e F) nei prossimi 28 anni</w:t>
      </w:r>
      <w:r w:rsidR="006E4C13" w:rsidRPr="00790C64">
        <w:rPr>
          <w:rFonts w:asciiTheme="majorHAnsi" w:hAnsiTheme="majorHAnsi" w:cstheme="majorHAnsi"/>
          <w:bCs/>
          <w:i/>
          <w:iCs/>
        </w:rPr>
        <w:t>».</w:t>
      </w:r>
    </w:p>
    <w:p w14:paraId="39DB5193" w14:textId="3EA95D90" w:rsidR="00BB30BD" w:rsidRDefault="005B5C95" w:rsidP="00247C5D">
      <w:pPr>
        <w:spacing w:after="120"/>
        <w:ind w:left="-284" w:right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Un forte rischio investe, soprattutto, la Ricostruzione post sisma 2016, che subirà un inevitabile arresto</w:t>
      </w:r>
      <w:r w:rsidR="00B14999">
        <w:rPr>
          <w:rFonts w:asciiTheme="majorHAnsi" w:hAnsiTheme="majorHAnsi" w:cstheme="majorHAnsi"/>
          <w:bCs/>
        </w:rPr>
        <w:t xml:space="preserve">, e non da meno </w:t>
      </w:r>
      <w:r w:rsidR="006E4C13">
        <w:rPr>
          <w:rFonts w:asciiTheme="majorHAnsi" w:hAnsiTheme="majorHAnsi" w:cstheme="majorHAnsi"/>
          <w:bCs/>
        </w:rPr>
        <w:t xml:space="preserve">sarà </w:t>
      </w:r>
      <w:r w:rsidR="00B14999">
        <w:rPr>
          <w:rFonts w:asciiTheme="majorHAnsi" w:hAnsiTheme="majorHAnsi" w:cstheme="majorHAnsi"/>
          <w:bCs/>
        </w:rPr>
        <w:t xml:space="preserve">la situazione degli immobili danneggiati dai recenti eventi sismici che hanno </w:t>
      </w:r>
      <w:r w:rsidR="006E4C13">
        <w:rPr>
          <w:rFonts w:asciiTheme="majorHAnsi" w:hAnsiTheme="majorHAnsi" w:cstheme="majorHAnsi"/>
          <w:bCs/>
        </w:rPr>
        <w:t xml:space="preserve">ulteriormente </w:t>
      </w:r>
      <w:r w:rsidR="00B14999">
        <w:rPr>
          <w:rFonts w:asciiTheme="majorHAnsi" w:hAnsiTheme="majorHAnsi" w:cstheme="majorHAnsi"/>
          <w:bCs/>
        </w:rPr>
        <w:t>colpit</w:t>
      </w:r>
      <w:r w:rsidR="006E4C13">
        <w:rPr>
          <w:rFonts w:asciiTheme="majorHAnsi" w:hAnsiTheme="majorHAnsi" w:cstheme="majorHAnsi"/>
          <w:bCs/>
        </w:rPr>
        <w:t>o</w:t>
      </w:r>
      <w:r w:rsidR="00B14999">
        <w:rPr>
          <w:rFonts w:asciiTheme="majorHAnsi" w:hAnsiTheme="majorHAnsi" w:cstheme="majorHAnsi"/>
          <w:bCs/>
        </w:rPr>
        <w:t xml:space="preserve"> </w:t>
      </w:r>
      <w:r w:rsidR="006E4C13">
        <w:rPr>
          <w:rFonts w:asciiTheme="majorHAnsi" w:hAnsiTheme="majorHAnsi" w:cstheme="majorHAnsi"/>
          <w:bCs/>
        </w:rPr>
        <w:t xml:space="preserve">i nostri </w:t>
      </w:r>
      <w:r w:rsidR="00B14999">
        <w:rPr>
          <w:rFonts w:asciiTheme="majorHAnsi" w:hAnsiTheme="majorHAnsi" w:cstheme="majorHAnsi"/>
          <w:bCs/>
        </w:rPr>
        <w:t xml:space="preserve">territori </w:t>
      </w:r>
      <w:r w:rsidR="006E4C13">
        <w:rPr>
          <w:rFonts w:asciiTheme="majorHAnsi" w:hAnsiTheme="majorHAnsi" w:cstheme="majorHAnsi"/>
          <w:bCs/>
        </w:rPr>
        <w:t xml:space="preserve">e </w:t>
      </w:r>
      <w:r w:rsidR="00B14999">
        <w:rPr>
          <w:rFonts w:asciiTheme="majorHAnsi" w:hAnsiTheme="majorHAnsi" w:cstheme="majorHAnsi"/>
          <w:bCs/>
        </w:rPr>
        <w:t xml:space="preserve">per i quali non è ancora stata prevista alcuna soluzione. </w:t>
      </w:r>
    </w:p>
    <w:p w14:paraId="2327B2AA" w14:textId="314E415C" w:rsidR="005B5C95" w:rsidRDefault="005B5C95" w:rsidP="0031452B">
      <w:pPr>
        <w:spacing w:after="120"/>
        <w:ind w:left="-284" w:right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Inoltre, a</w:t>
      </w:r>
      <w:r w:rsidR="00BB30BD">
        <w:rPr>
          <w:rFonts w:asciiTheme="majorHAnsi" w:hAnsiTheme="majorHAnsi" w:cstheme="majorHAnsi"/>
          <w:bCs/>
        </w:rPr>
        <w:t xml:space="preserve"> fronte delle garanzie introdotte dal DL</w:t>
      </w:r>
      <w:r>
        <w:rPr>
          <w:rFonts w:asciiTheme="majorHAnsi" w:hAnsiTheme="majorHAnsi" w:cstheme="majorHAnsi"/>
          <w:bCs/>
        </w:rPr>
        <w:t xml:space="preserve"> </w:t>
      </w:r>
      <w:r w:rsidR="00BB30BD">
        <w:rPr>
          <w:rFonts w:asciiTheme="majorHAnsi" w:hAnsiTheme="majorHAnsi" w:cstheme="majorHAnsi"/>
          <w:bCs/>
        </w:rPr>
        <w:t xml:space="preserve">per i cessionari </w:t>
      </w:r>
      <w:r>
        <w:rPr>
          <w:rFonts w:asciiTheme="majorHAnsi" w:hAnsiTheme="majorHAnsi" w:cstheme="majorHAnsi"/>
          <w:bCs/>
        </w:rPr>
        <w:t xml:space="preserve">acquirenti </w:t>
      </w:r>
      <w:r w:rsidR="00BB30BD">
        <w:rPr>
          <w:rFonts w:asciiTheme="majorHAnsi" w:hAnsiTheme="majorHAnsi" w:cstheme="majorHAnsi"/>
          <w:bCs/>
        </w:rPr>
        <w:t xml:space="preserve">– istituti di credito e intermediari finanziari – </w:t>
      </w:r>
      <w:r>
        <w:rPr>
          <w:rFonts w:asciiTheme="majorHAnsi" w:hAnsiTheme="majorHAnsi" w:cstheme="majorHAnsi"/>
          <w:bCs/>
        </w:rPr>
        <w:t>che li solleva, di fatto,</w:t>
      </w:r>
      <w:r w:rsidR="00BB30BD">
        <w:rPr>
          <w:rFonts w:asciiTheme="majorHAnsi" w:hAnsiTheme="majorHAnsi" w:cstheme="majorHAnsi"/>
          <w:bCs/>
        </w:rPr>
        <w:t xml:space="preserve"> dalla responsabilità solidale</w:t>
      </w:r>
      <w:r w:rsidR="00DD01A9">
        <w:rPr>
          <w:rFonts w:asciiTheme="majorHAnsi" w:hAnsiTheme="majorHAnsi" w:cstheme="majorHAnsi"/>
          <w:bCs/>
        </w:rPr>
        <w:t xml:space="preserve"> </w:t>
      </w:r>
      <w:r w:rsidR="00DD01A9" w:rsidRPr="00790C64">
        <w:rPr>
          <w:rFonts w:asciiTheme="majorHAnsi" w:hAnsiTheme="majorHAnsi" w:cstheme="majorHAnsi"/>
          <w:bCs/>
          <w:i/>
          <w:iCs/>
        </w:rPr>
        <w:t>«</w:t>
      </w:r>
      <w:r w:rsidR="00BB30BD" w:rsidRPr="00DD01A9">
        <w:rPr>
          <w:rFonts w:asciiTheme="majorHAnsi" w:hAnsiTheme="majorHAnsi" w:cstheme="majorHAnsi"/>
          <w:bCs/>
          <w:i/>
          <w:iCs/>
        </w:rPr>
        <w:t>non si comprende la decisione di escludere in partenza gli enti locali</w:t>
      </w:r>
      <w:r w:rsidRPr="00DD01A9">
        <w:rPr>
          <w:rFonts w:asciiTheme="majorHAnsi" w:hAnsiTheme="majorHAnsi" w:cstheme="majorHAnsi"/>
          <w:bCs/>
          <w:i/>
          <w:iCs/>
        </w:rPr>
        <w:t xml:space="preserve"> dalla possibilità d’acquisto dei crediti incagliati</w:t>
      </w:r>
      <w:r w:rsidR="00DD01A9" w:rsidRPr="00790C64">
        <w:rPr>
          <w:rFonts w:asciiTheme="majorHAnsi" w:hAnsiTheme="majorHAnsi" w:cstheme="majorHAnsi"/>
          <w:bCs/>
          <w:i/>
          <w:iCs/>
        </w:rPr>
        <w:t>»</w:t>
      </w:r>
      <w:r w:rsidR="00BB30BD" w:rsidRPr="00790C64">
        <w:rPr>
          <w:rFonts w:asciiTheme="majorHAnsi" w:hAnsiTheme="majorHAnsi" w:cstheme="majorHAnsi"/>
          <w:bCs/>
          <w:i/>
          <w:iCs/>
        </w:rPr>
        <w:t>.</w:t>
      </w:r>
    </w:p>
    <w:p w14:paraId="7BA9FA15" w14:textId="016EC234" w:rsidR="00751634" w:rsidRPr="00DD01A9" w:rsidRDefault="00DD01A9" w:rsidP="00751634">
      <w:pPr>
        <w:spacing w:after="120"/>
        <w:ind w:left="-284" w:right="284"/>
        <w:jc w:val="both"/>
        <w:rPr>
          <w:rFonts w:asciiTheme="majorHAnsi" w:hAnsiTheme="majorHAnsi" w:cstheme="majorHAnsi"/>
          <w:bCs/>
          <w:i/>
          <w:iCs/>
        </w:rPr>
      </w:pPr>
      <w:r w:rsidRPr="00790C64">
        <w:rPr>
          <w:rFonts w:asciiTheme="majorHAnsi" w:hAnsiTheme="majorHAnsi" w:cstheme="majorHAnsi"/>
          <w:bCs/>
          <w:i/>
          <w:iCs/>
        </w:rPr>
        <w:t>«</w:t>
      </w:r>
      <w:r w:rsidR="00751634" w:rsidRPr="00DD01A9">
        <w:rPr>
          <w:rFonts w:asciiTheme="majorHAnsi" w:hAnsiTheme="majorHAnsi" w:cstheme="majorHAnsi"/>
          <w:bCs/>
          <w:i/>
          <w:iCs/>
        </w:rPr>
        <w:t>Dobbiamo avere risposte immediate e occorre aprire al più presto concrete interlocuzioni al fine di individuare un’efficacie via d’uscita da questo disastro</w:t>
      </w:r>
      <w:r w:rsidRPr="00790C64">
        <w:rPr>
          <w:rFonts w:asciiTheme="majorHAnsi" w:hAnsiTheme="majorHAnsi" w:cstheme="majorHAnsi"/>
          <w:bCs/>
          <w:i/>
          <w:iCs/>
        </w:rPr>
        <w:t>»</w:t>
      </w:r>
      <w:r w:rsidR="00751634" w:rsidRPr="00DD01A9">
        <w:rPr>
          <w:rFonts w:asciiTheme="majorHAnsi" w:hAnsiTheme="majorHAnsi" w:cstheme="majorHAnsi"/>
          <w:bCs/>
          <w:i/>
          <w:iCs/>
        </w:rPr>
        <w:t>.</w:t>
      </w:r>
    </w:p>
    <w:p w14:paraId="6CF1342C" w14:textId="6C3A553A" w:rsidR="007F305A" w:rsidRDefault="00751634" w:rsidP="0031452B">
      <w:pPr>
        <w:spacing w:after="120"/>
        <w:ind w:left="-284" w:right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Così </w:t>
      </w:r>
      <w:r w:rsidR="007F305A">
        <w:rPr>
          <w:rFonts w:asciiTheme="majorHAnsi" w:hAnsiTheme="majorHAnsi" w:cstheme="majorHAnsi"/>
          <w:bCs/>
        </w:rPr>
        <w:t>ANCE Marche, Confindustria Marche, CNA Marche, Confartigianato Marche, CONFAPI Marche, Legacoop Marche e CLAAI Marche</w:t>
      </w:r>
      <w:r>
        <w:rPr>
          <w:rFonts w:asciiTheme="majorHAnsi" w:hAnsiTheme="majorHAnsi" w:cstheme="majorHAnsi"/>
          <w:bCs/>
        </w:rPr>
        <w:t>,</w:t>
      </w:r>
      <w:r w:rsidR="007F305A">
        <w:rPr>
          <w:rFonts w:asciiTheme="majorHAnsi" w:hAnsiTheme="majorHAnsi" w:cstheme="majorHAnsi"/>
          <w:bCs/>
        </w:rPr>
        <w:t xml:space="preserve"> annunciano la mobilitazione della categoria e l’indizione degli </w:t>
      </w:r>
      <w:r>
        <w:rPr>
          <w:rFonts w:asciiTheme="majorHAnsi" w:hAnsiTheme="majorHAnsi" w:cstheme="majorHAnsi"/>
          <w:bCs/>
        </w:rPr>
        <w:t>S</w:t>
      </w:r>
      <w:r w:rsidR="007F305A">
        <w:rPr>
          <w:rFonts w:asciiTheme="majorHAnsi" w:hAnsiTheme="majorHAnsi" w:cstheme="majorHAnsi"/>
          <w:bCs/>
        </w:rPr>
        <w:t>tati generali delle Costruzioni</w:t>
      </w:r>
      <w:r w:rsidR="00AB5994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>che coinvolgeranno</w:t>
      </w:r>
      <w:r w:rsidR="00AB5994">
        <w:rPr>
          <w:rFonts w:asciiTheme="majorHAnsi" w:hAnsiTheme="majorHAnsi" w:cstheme="majorHAnsi"/>
          <w:bCs/>
        </w:rPr>
        <w:t xml:space="preserve"> il Governo Regionale</w:t>
      </w:r>
      <w:r w:rsidR="00985B54">
        <w:rPr>
          <w:rFonts w:asciiTheme="majorHAnsi" w:hAnsiTheme="majorHAnsi" w:cstheme="majorHAnsi"/>
          <w:bCs/>
        </w:rPr>
        <w:t xml:space="preserve"> e</w:t>
      </w:r>
      <w:r>
        <w:rPr>
          <w:rFonts w:asciiTheme="majorHAnsi" w:hAnsiTheme="majorHAnsi" w:cstheme="majorHAnsi"/>
          <w:bCs/>
        </w:rPr>
        <w:t xml:space="preserve"> i </w:t>
      </w:r>
      <w:r w:rsidR="00E34B04">
        <w:rPr>
          <w:rFonts w:asciiTheme="majorHAnsi" w:hAnsiTheme="majorHAnsi" w:cstheme="majorHAnsi"/>
          <w:bCs/>
        </w:rPr>
        <w:t xml:space="preserve">Parlamentari </w:t>
      </w:r>
      <w:r>
        <w:rPr>
          <w:rFonts w:asciiTheme="majorHAnsi" w:hAnsiTheme="majorHAnsi" w:cstheme="majorHAnsi"/>
          <w:bCs/>
        </w:rPr>
        <w:t>eletti nelle Marche.</w:t>
      </w:r>
    </w:p>
    <w:sectPr w:rsidR="007F305A" w:rsidSect="00443F89">
      <w:headerReference w:type="default" r:id="rId8"/>
      <w:footerReference w:type="default" r:id="rId9"/>
      <w:headerReference w:type="first" r:id="rId10"/>
      <w:pgSz w:w="11900" w:h="16840"/>
      <w:pgMar w:top="2410" w:right="1552" w:bottom="1134" w:left="2268" w:header="709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57932" w14:textId="77777777" w:rsidR="008919D5" w:rsidRDefault="008919D5" w:rsidP="00383E41">
      <w:r>
        <w:separator/>
      </w:r>
    </w:p>
  </w:endnote>
  <w:endnote w:type="continuationSeparator" w:id="0">
    <w:p w14:paraId="635AA133" w14:textId="77777777" w:rsidR="008919D5" w:rsidRDefault="008919D5" w:rsidP="0038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4AB8A" w14:textId="77777777" w:rsidR="00D03DB6" w:rsidRDefault="00D03DB6" w:rsidP="00F56007">
    <w:pPr>
      <w:pStyle w:val="Pidipagina"/>
      <w:ind w:right="-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6B4D3" w14:textId="77777777" w:rsidR="008919D5" w:rsidRDefault="008919D5" w:rsidP="00383E41">
      <w:r>
        <w:separator/>
      </w:r>
    </w:p>
  </w:footnote>
  <w:footnote w:type="continuationSeparator" w:id="0">
    <w:p w14:paraId="7B99DE9C" w14:textId="77777777" w:rsidR="008919D5" w:rsidRDefault="008919D5" w:rsidP="00383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305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44"/>
      <w:gridCol w:w="825"/>
      <w:gridCol w:w="2114"/>
      <w:gridCol w:w="1565"/>
      <w:gridCol w:w="1468"/>
      <w:gridCol w:w="1215"/>
      <w:gridCol w:w="1474"/>
    </w:tblGrid>
    <w:tr w:rsidR="00EB180F" w14:paraId="6E9007DC" w14:textId="04451D3F" w:rsidTr="00EB180F">
      <w:trPr>
        <w:trHeight w:val="454"/>
      </w:trPr>
      <w:tc>
        <w:tcPr>
          <w:tcW w:w="1644" w:type="dxa"/>
          <w:vAlign w:val="center"/>
        </w:tcPr>
        <w:p w14:paraId="741A4F9A" w14:textId="6F979732" w:rsidR="00DD01A9" w:rsidRDefault="00DD01A9" w:rsidP="00EB180F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268A66E1" wp14:editId="36E634A1">
                <wp:extent cx="951781" cy="360000"/>
                <wp:effectExtent l="0" t="0" r="1270" b="254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3" r="8000" b="8750"/>
                        <a:stretch/>
                      </pic:blipFill>
                      <pic:spPr bwMode="auto">
                        <a:xfrm>
                          <a:off x="0" y="0"/>
                          <a:ext cx="951781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" w:type="dxa"/>
          <w:vAlign w:val="center"/>
        </w:tcPr>
        <w:p w14:paraId="306CAC79" w14:textId="77777777" w:rsidR="00DD01A9" w:rsidRDefault="00DD01A9" w:rsidP="00EB180F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6A97EFF5" wp14:editId="5C0BEBE3">
                <wp:extent cx="375148" cy="468000"/>
                <wp:effectExtent l="0" t="0" r="6350" b="825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148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4" w:type="dxa"/>
          <w:vAlign w:val="center"/>
        </w:tcPr>
        <w:p w14:paraId="54217C97" w14:textId="77777777" w:rsidR="00DD01A9" w:rsidRDefault="00DD01A9" w:rsidP="00EB180F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09E6B21F" wp14:editId="17A40A38">
                <wp:extent cx="1190102" cy="2520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10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5" w:type="dxa"/>
          <w:vAlign w:val="center"/>
        </w:tcPr>
        <w:p w14:paraId="23B59682" w14:textId="5642697D" w:rsidR="00DD01A9" w:rsidRDefault="00992D01" w:rsidP="00EB180F">
          <w:pPr>
            <w:pStyle w:val="Intestazione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49B90F4" wp14:editId="137A4F57">
                <wp:extent cx="856615" cy="295910"/>
                <wp:effectExtent l="0" t="0" r="635" b="889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61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8" w:type="dxa"/>
          <w:vAlign w:val="center"/>
        </w:tcPr>
        <w:p w14:paraId="085BB10D" w14:textId="77777777" w:rsidR="00DD01A9" w:rsidRDefault="00DD01A9" w:rsidP="00EB180F">
          <w:pPr>
            <w:pStyle w:val="Intestazione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540EB5B" wp14:editId="3B326F9D">
                <wp:extent cx="756000" cy="288000"/>
                <wp:effectExtent l="0" t="0" r="635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13" t="28866" r="8263" b="28248"/>
                        <a:stretch/>
                      </pic:blipFill>
                      <pic:spPr bwMode="auto">
                        <a:xfrm>
                          <a:off x="0" y="0"/>
                          <a:ext cx="756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" w:type="dxa"/>
          <w:vAlign w:val="center"/>
        </w:tcPr>
        <w:p w14:paraId="40A3FF90" w14:textId="537135DB" w:rsidR="00DD01A9" w:rsidRDefault="00EB180F" w:rsidP="00EB180F">
          <w:pPr>
            <w:pStyle w:val="Intestazione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1767ACB" wp14:editId="1630D4BC">
                <wp:extent cx="594937" cy="396000"/>
                <wp:effectExtent l="0" t="0" r="0" b="444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93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4" w:type="dxa"/>
          <w:vAlign w:val="center"/>
        </w:tcPr>
        <w:p w14:paraId="6A7FA5F1" w14:textId="7451715E" w:rsidR="00DD01A9" w:rsidRDefault="00EB180F" w:rsidP="00EB180F">
          <w:pPr>
            <w:pStyle w:val="Intestazione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3772898" wp14:editId="63BF9785">
                <wp:extent cx="795098" cy="288000"/>
                <wp:effectExtent l="0" t="0" r="5080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098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509AAF" w14:textId="499FCEA2" w:rsidR="00D03DB6" w:rsidRDefault="00D03DB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C15E5" w14:textId="77777777" w:rsidR="001C7A61" w:rsidRDefault="00D03DB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46F928D7" wp14:editId="5FA099F1">
              <wp:simplePos x="0" y="0"/>
              <wp:positionH relativeFrom="column">
                <wp:posOffset>-1266190</wp:posOffset>
              </wp:positionH>
              <wp:positionV relativeFrom="page">
                <wp:posOffset>9525</wp:posOffset>
              </wp:positionV>
              <wp:extent cx="5869940" cy="9086215"/>
              <wp:effectExtent l="0" t="0" r="0" b="6985"/>
              <wp:wrapNone/>
              <wp:docPr id="5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69940" cy="9086215"/>
                      </a:xfrm>
                      <a:custGeom>
                        <a:avLst/>
                        <a:gdLst>
                          <a:gd name="T0" fmla="+- 0 4505 2"/>
                          <a:gd name="T1" fmla="*/ T0 w 9244"/>
                          <a:gd name="T2" fmla="*/ 0 h 14309"/>
                          <a:gd name="T3" fmla="+- 0 6 2"/>
                          <a:gd name="T4" fmla="*/ T3 w 9244"/>
                          <a:gd name="T5" fmla="*/ 0 h 14309"/>
                          <a:gd name="T6" fmla="+- 0 1631 2"/>
                          <a:gd name="T7" fmla="*/ T6 w 9244"/>
                          <a:gd name="T8" fmla="*/ 5129 h 14309"/>
                          <a:gd name="T9" fmla="+- 0 2 2"/>
                          <a:gd name="T10" fmla="*/ T9 w 9244"/>
                          <a:gd name="T11" fmla="*/ 5129 h 14309"/>
                          <a:gd name="T12" fmla="+- 0 2 2"/>
                          <a:gd name="T13" fmla="*/ T12 w 9244"/>
                          <a:gd name="T14" fmla="*/ 9549 h 14309"/>
                          <a:gd name="T15" fmla="+- 0 2889 2"/>
                          <a:gd name="T16" fmla="*/ T15 w 9244"/>
                          <a:gd name="T17" fmla="*/ 9549 h 14309"/>
                          <a:gd name="T18" fmla="+- 0 4316 2"/>
                          <a:gd name="T19" fmla="*/ T18 w 9244"/>
                          <a:gd name="T20" fmla="*/ 14308 h 14309"/>
                          <a:gd name="T21" fmla="+- 0 9246 2"/>
                          <a:gd name="T22" fmla="*/ T21 w 9244"/>
                          <a:gd name="T23" fmla="*/ 14308 h 14309"/>
                          <a:gd name="T24" fmla="+- 0 4505 2"/>
                          <a:gd name="T25" fmla="*/ T24 w 9244"/>
                          <a:gd name="T26" fmla="*/ 0 h 14309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</a:cxnLst>
                        <a:rect l="0" t="0" r="r" b="b"/>
                        <a:pathLst>
                          <a:path w="9244" h="14309">
                            <a:moveTo>
                              <a:pt x="4503" y="0"/>
                            </a:moveTo>
                            <a:lnTo>
                              <a:pt x="4" y="0"/>
                            </a:lnTo>
                            <a:lnTo>
                              <a:pt x="1629" y="5129"/>
                            </a:lnTo>
                            <a:lnTo>
                              <a:pt x="0" y="5129"/>
                            </a:lnTo>
                            <a:lnTo>
                              <a:pt x="0" y="9549"/>
                            </a:lnTo>
                            <a:lnTo>
                              <a:pt x="2887" y="9549"/>
                            </a:lnTo>
                            <a:lnTo>
                              <a:pt x="4314" y="14308"/>
                            </a:lnTo>
                            <a:lnTo>
                              <a:pt x="9244" y="14308"/>
                            </a:lnTo>
                            <a:lnTo>
                              <a:pt x="4503" y="0"/>
                            </a:lnTo>
                            <a:close/>
                          </a:path>
                        </a:pathLst>
                      </a:custGeom>
                      <a:solidFill>
                        <a:srgbClr val="DFE1E7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14:paraId="6A94320B" w14:textId="77777777" w:rsidR="00D03DB6" w:rsidRPr="002A26A0" w:rsidRDefault="00D03DB6" w:rsidP="00D03D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6F928D7" id="Freeform 3" o:spid="_x0000_s1026" style="position:absolute;margin-left:-99.7pt;margin-top:.75pt;width:462.2pt;height:715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44,143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" adj="-11796480,,5400" path="m4503,l4,,1629,5129,,5129,,9549r2887,l4314,14308r4930,l4503,xe" fillcolor="#dfe1e7" stroked="f">
              <v:stroke joinstyle="miter"/>
              <v:formulas/>
              <v:path arrowok="t" o:connecttype="custom" o:connectlocs="2859405,0;2540,0;1034415,3256915;0,3256915;0,6063615;1833245,6063615;2739390,9085580;5869940,9085580;2859405,0" o:connectangles="0,0,0,0,0,0,0,0,0" textboxrect="0,0,9244,14309"/>
              <v:textbox>
                <w:txbxContent>
                  <w:p w14:paraId="6A94320B" w14:textId="77777777" w:rsidR="00D03DB6" w:rsidRPr="002A26A0" w:rsidRDefault="00D03DB6" w:rsidP="00D03DB6">
                    <w:pPr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1C7A61" w:rsidRPr="008A0386">
      <w:rPr>
        <w:noProof/>
      </w:rPr>
      <w:drawing>
        <wp:anchor distT="0" distB="0" distL="114300" distR="114300" simplePos="0" relativeHeight="251665408" behindDoc="0" locked="0" layoutInCell="1" allowOverlap="1" wp14:anchorId="2F3EAA96" wp14:editId="122315E2">
          <wp:simplePos x="0" y="0"/>
          <wp:positionH relativeFrom="column">
            <wp:posOffset>3442628</wp:posOffset>
          </wp:positionH>
          <wp:positionV relativeFrom="page">
            <wp:posOffset>549910</wp:posOffset>
          </wp:positionV>
          <wp:extent cx="1560195" cy="400050"/>
          <wp:effectExtent l="0" t="0" r="0" b="635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nc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5" cy="400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C2C3E"/>
    <w:multiLevelType w:val="hybridMultilevel"/>
    <w:tmpl w:val="01D49B1A"/>
    <w:lvl w:ilvl="0" w:tplc="A97ECA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8A01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BC2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446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C4F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EA5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58D6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A14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F2A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A6C21"/>
    <w:multiLevelType w:val="hybridMultilevel"/>
    <w:tmpl w:val="E5AEDF5E"/>
    <w:lvl w:ilvl="0" w:tplc="AC606322">
      <w:start w:val="1"/>
      <w:numFmt w:val="decimal"/>
      <w:lvlText w:val="%1."/>
      <w:lvlJc w:val="left"/>
      <w:pPr>
        <w:ind w:left="685" w:hanging="299"/>
      </w:pPr>
      <w:rPr>
        <w:rFonts w:ascii="Calibri" w:eastAsia="Calibri" w:hAnsi="Calibri" w:cs="Calibri" w:hint="default"/>
        <w:b/>
        <w:bCs/>
        <w:color w:val="174083"/>
        <w:w w:val="99"/>
        <w:sz w:val="28"/>
        <w:szCs w:val="28"/>
        <w:lang w:val="it-IT" w:eastAsia="en-US" w:bidi="ar-SA"/>
      </w:rPr>
    </w:lvl>
    <w:lvl w:ilvl="1" w:tplc="7E48FE0C">
      <w:numFmt w:val="bullet"/>
      <w:lvlText w:val="•"/>
      <w:lvlJc w:val="left"/>
      <w:pPr>
        <w:ind w:left="1602" w:hanging="299"/>
      </w:pPr>
      <w:rPr>
        <w:rFonts w:hint="default"/>
        <w:lang w:val="it-IT" w:eastAsia="en-US" w:bidi="ar-SA"/>
      </w:rPr>
    </w:lvl>
    <w:lvl w:ilvl="2" w:tplc="AF7A5B4A">
      <w:numFmt w:val="bullet"/>
      <w:lvlText w:val="•"/>
      <w:lvlJc w:val="left"/>
      <w:pPr>
        <w:ind w:left="2525" w:hanging="299"/>
      </w:pPr>
      <w:rPr>
        <w:rFonts w:hint="default"/>
        <w:lang w:val="it-IT" w:eastAsia="en-US" w:bidi="ar-SA"/>
      </w:rPr>
    </w:lvl>
    <w:lvl w:ilvl="3" w:tplc="8A345F66">
      <w:numFmt w:val="bullet"/>
      <w:lvlText w:val="•"/>
      <w:lvlJc w:val="left"/>
      <w:pPr>
        <w:ind w:left="3447" w:hanging="299"/>
      </w:pPr>
      <w:rPr>
        <w:rFonts w:hint="default"/>
        <w:lang w:val="it-IT" w:eastAsia="en-US" w:bidi="ar-SA"/>
      </w:rPr>
    </w:lvl>
    <w:lvl w:ilvl="4" w:tplc="2020DE8C">
      <w:numFmt w:val="bullet"/>
      <w:lvlText w:val="•"/>
      <w:lvlJc w:val="left"/>
      <w:pPr>
        <w:ind w:left="4370" w:hanging="299"/>
      </w:pPr>
      <w:rPr>
        <w:rFonts w:hint="default"/>
        <w:lang w:val="it-IT" w:eastAsia="en-US" w:bidi="ar-SA"/>
      </w:rPr>
    </w:lvl>
    <w:lvl w:ilvl="5" w:tplc="3324553E">
      <w:numFmt w:val="bullet"/>
      <w:lvlText w:val="•"/>
      <w:lvlJc w:val="left"/>
      <w:pPr>
        <w:ind w:left="5292" w:hanging="299"/>
      </w:pPr>
      <w:rPr>
        <w:rFonts w:hint="default"/>
        <w:lang w:val="it-IT" w:eastAsia="en-US" w:bidi="ar-SA"/>
      </w:rPr>
    </w:lvl>
    <w:lvl w:ilvl="6" w:tplc="B3C88EB0">
      <w:numFmt w:val="bullet"/>
      <w:lvlText w:val="•"/>
      <w:lvlJc w:val="left"/>
      <w:pPr>
        <w:ind w:left="6215" w:hanging="299"/>
      </w:pPr>
      <w:rPr>
        <w:rFonts w:hint="default"/>
        <w:lang w:val="it-IT" w:eastAsia="en-US" w:bidi="ar-SA"/>
      </w:rPr>
    </w:lvl>
    <w:lvl w:ilvl="7" w:tplc="85D6D922">
      <w:numFmt w:val="bullet"/>
      <w:lvlText w:val="•"/>
      <w:lvlJc w:val="left"/>
      <w:pPr>
        <w:ind w:left="7137" w:hanging="299"/>
      </w:pPr>
      <w:rPr>
        <w:rFonts w:hint="default"/>
        <w:lang w:val="it-IT" w:eastAsia="en-US" w:bidi="ar-SA"/>
      </w:rPr>
    </w:lvl>
    <w:lvl w:ilvl="8" w:tplc="92CC16B0">
      <w:numFmt w:val="bullet"/>
      <w:lvlText w:val="•"/>
      <w:lvlJc w:val="left"/>
      <w:pPr>
        <w:ind w:left="8060" w:hanging="299"/>
      </w:pPr>
      <w:rPr>
        <w:rFonts w:hint="default"/>
        <w:lang w:val="it-IT" w:eastAsia="en-US" w:bidi="ar-SA"/>
      </w:rPr>
    </w:lvl>
  </w:abstractNum>
  <w:abstractNum w:abstractNumId="2" w15:restartNumberingAfterBreak="0">
    <w:nsid w:val="41CE3180"/>
    <w:multiLevelType w:val="hybridMultilevel"/>
    <w:tmpl w:val="90FEEF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41"/>
    <w:rsid w:val="00003349"/>
    <w:rsid w:val="00020749"/>
    <w:rsid w:val="00022236"/>
    <w:rsid w:val="00040CA1"/>
    <w:rsid w:val="00052F55"/>
    <w:rsid w:val="0005546F"/>
    <w:rsid w:val="000624F9"/>
    <w:rsid w:val="00066847"/>
    <w:rsid w:val="00083A4F"/>
    <w:rsid w:val="0009610A"/>
    <w:rsid w:val="000B4FD5"/>
    <w:rsid w:val="000E2DCF"/>
    <w:rsid w:val="000F7E53"/>
    <w:rsid w:val="001014C1"/>
    <w:rsid w:val="00113932"/>
    <w:rsid w:val="0012111B"/>
    <w:rsid w:val="00130E89"/>
    <w:rsid w:val="001C0E4E"/>
    <w:rsid w:val="001C2EC1"/>
    <w:rsid w:val="001C7A61"/>
    <w:rsid w:val="001D5551"/>
    <w:rsid w:val="001D62AC"/>
    <w:rsid w:val="001F645C"/>
    <w:rsid w:val="001F71D6"/>
    <w:rsid w:val="00213952"/>
    <w:rsid w:val="00240EEE"/>
    <w:rsid w:val="00247C5D"/>
    <w:rsid w:val="00276CB1"/>
    <w:rsid w:val="00276EF4"/>
    <w:rsid w:val="00282967"/>
    <w:rsid w:val="002B7472"/>
    <w:rsid w:val="002D679C"/>
    <w:rsid w:val="002F5AF2"/>
    <w:rsid w:val="003036A7"/>
    <w:rsid w:val="00304511"/>
    <w:rsid w:val="00304E3E"/>
    <w:rsid w:val="00311301"/>
    <w:rsid w:val="00313962"/>
    <w:rsid w:val="0031452B"/>
    <w:rsid w:val="00316535"/>
    <w:rsid w:val="00346FD3"/>
    <w:rsid w:val="00383E41"/>
    <w:rsid w:val="00392C57"/>
    <w:rsid w:val="00397123"/>
    <w:rsid w:val="003C24E2"/>
    <w:rsid w:val="003C2DE2"/>
    <w:rsid w:val="003E20C5"/>
    <w:rsid w:val="00403D44"/>
    <w:rsid w:val="0040755E"/>
    <w:rsid w:val="00430A61"/>
    <w:rsid w:val="004312E4"/>
    <w:rsid w:val="00431690"/>
    <w:rsid w:val="00443E9C"/>
    <w:rsid w:val="00443F89"/>
    <w:rsid w:val="0045059B"/>
    <w:rsid w:val="00472D05"/>
    <w:rsid w:val="0049135F"/>
    <w:rsid w:val="00493FFC"/>
    <w:rsid w:val="00495A59"/>
    <w:rsid w:val="004A1C94"/>
    <w:rsid w:val="004B605A"/>
    <w:rsid w:val="004C7811"/>
    <w:rsid w:val="004E248D"/>
    <w:rsid w:val="004E35DC"/>
    <w:rsid w:val="004F1A16"/>
    <w:rsid w:val="004F7EF7"/>
    <w:rsid w:val="00500842"/>
    <w:rsid w:val="00517BA1"/>
    <w:rsid w:val="00520176"/>
    <w:rsid w:val="00521616"/>
    <w:rsid w:val="005305CE"/>
    <w:rsid w:val="00530F84"/>
    <w:rsid w:val="00543433"/>
    <w:rsid w:val="005654C0"/>
    <w:rsid w:val="00572678"/>
    <w:rsid w:val="005A6198"/>
    <w:rsid w:val="005B1D3B"/>
    <w:rsid w:val="005B3683"/>
    <w:rsid w:val="005B5C95"/>
    <w:rsid w:val="005D2A35"/>
    <w:rsid w:val="005E2792"/>
    <w:rsid w:val="005F19C3"/>
    <w:rsid w:val="005F3E46"/>
    <w:rsid w:val="00633318"/>
    <w:rsid w:val="00665C62"/>
    <w:rsid w:val="0068076F"/>
    <w:rsid w:val="00684367"/>
    <w:rsid w:val="00684FCA"/>
    <w:rsid w:val="006E321F"/>
    <w:rsid w:val="006E4C13"/>
    <w:rsid w:val="006E698F"/>
    <w:rsid w:val="0070608F"/>
    <w:rsid w:val="0071485D"/>
    <w:rsid w:val="00720263"/>
    <w:rsid w:val="0072459B"/>
    <w:rsid w:val="00751634"/>
    <w:rsid w:val="00766F2A"/>
    <w:rsid w:val="007753EC"/>
    <w:rsid w:val="00790C64"/>
    <w:rsid w:val="00794D62"/>
    <w:rsid w:val="007A49A5"/>
    <w:rsid w:val="007C155C"/>
    <w:rsid w:val="007C3F1E"/>
    <w:rsid w:val="007F305A"/>
    <w:rsid w:val="008125D5"/>
    <w:rsid w:val="00873139"/>
    <w:rsid w:val="00873E46"/>
    <w:rsid w:val="008919D5"/>
    <w:rsid w:val="008B3838"/>
    <w:rsid w:val="008C25E2"/>
    <w:rsid w:val="008E51D4"/>
    <w:rsid w:val="00902FB7"/>
    <w:rsid w:val="0091339F"/>
    <w:rsid w:val="00932F12"/>
    <w:rsid w:val="00942296"/>
    <w:rsid w:val="009538AD"/>
    <w:rsid w:val="00954825"/>
    <w:rsid w:val="00967106"/>
    <w:rsid w:val="00967CEB"/>
    <w:rsid w:val="00976787"/>
    <w:rsid w:val="0097727B"/>
    <w:rsid w:val="00985B54"/>
    <w:rsid w:val="00986BDF"/>
    <w:rsid w:val="00992D01"/>
    <w:rsid w:val="009953EF"/>
    <w:rsid w:val="009C634A"/>
    <w:rsid w:val="009D4FA0"/>
    <w:rsid w:val="00A115AC"/>
    <w:rsid w:val="00A25181"/>
    <w:rsid w:val="00A4157C"/>
    <w:rsid w:val="00A5033E"/>
    <w:rsid w:val="00A8083A"/>
    <w:rsid w:val="00A80BA7"/>
    <w:rsid w:val="00A94D6C"/>
    <w:rsid w:val="00A95056"/>
    <w:rsid w:val="00A95426"/>
    <w:rsid w:val="00AA489C"/>
    <w:rsid w:val="00AB25F1"/>
    <w:rsid w:val="00AB5994"/>
    <w:rsid w:val="00AE75C2"/>
    <w:rsid w:val="00AF0CEE"/>
    <w:rsid w:val="00AF2E92"/>
    <w:rsid w:val="00B133B3"/>
    <w:rsid w:val="00B14999"/>
    <w:rsid w:val="00B208F9"/>
    <w:rsid w:val="00B22EEC"/>
    <w:rsid w:val="00B33FBC"/>
    <w:rsid w:val="00B878D0"/>
    <w:rsid w:val="00BB30BD"/>
    <w:rsid w:val="00BB733C"/>
    <w:rsid w:val="00BD5343"/>
    <w:rsid w:val="00BE7381"/>
    <w:rsid w:val="00C06231"/>
    <w:rsid w:val="00C3094E"/>
    <w:rsid w:val="00C54FD1"/>
    <w:rsid w:val="00C62A8B"/>
    <w:rsid w:val="00C70396"/>
    <w:rsid w:val="00C7352E"/>
    <w:rsid w:val="00C7777D"/>
    <w:rsid w:val="00C93E15"/>
    <w:rsid w:val="00C97CB7"/>
    <w:rsid w:val="00CA2802"/>
    <w:rsid w:val="00CC1F0A"/>
    <w:rsid w:val="00CE412F"/>
    <w:rsid w:val="00CF7451"/>
    <w:rsid w:val="00D03DB6"/>
    <w:rsid w:val="00D12E56"/>
    <w:rsid w:val="00D245EA"/>
    <w:rsid w:val="00D47BA2"/>
    <w:rsid w:val="00D56DCC"/>
    <w:rsid w:val="00D74F2B"/>
    <w:rsid w:val="00D945BC"/>
    <w:rsid w:val="00DA1A84"/>
    <w:rsid w:val="00DA393A"/>
    <w:rsid w:val="00DA57EE"/>
    <w:rsid w:val="00DA6BAC"/>
    <w:rsid w:val="00DD01A9"/>
    <w:rsid w:val="00DD1566"/>
    <w:rsid w:val="00DD24FC"/>
    <w:rsid w:val="00DF702F"/>
    <w:rsid w:val="00E34B04"/>
    <w:rsid w:val="00E41189"/>
    <w:rsid w:val="00E43C15"/>
    <w:rsid w:val="00E74E10"/>
    <w:rsid w:val="00E816D3"/>
    <w:rsid w:val="00E9207E"/>
    <w:rsid w:val="00E945A6"/>
    <w:rsid w:val="00EA02E8"/>
    <w:rsid w:val="00EB180F"/>
    <w:rsid w:val="00ED3ABA"/>
    <w:rsid w:val="00EE76FD"/>
    <w:rsid w:val="00EF3833"/>
    <w:rsid w:val="00EF466C"/>
    <w:rsid w:val="00F0008C"/>
    <w:rsid w:val="00F320ED"/>
    <w:rsid w:val="00F56007"/>
    <w:rsid w:val="00F630E9"/>
    <w:rsid w:val="00F85496"/>
    <w:rsid w:val="00F91EBD"/>
    <w:rsid w:val="00FA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D72FEB"/>
  <w14:defaultImageDpi w14:val="300"/>
  <w15:docId w15:val="{8157F7E3-BE1A-47E3-813D-8CD89199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3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1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954825"/>
    <w:rPr>
      <w:rFonts w:ascii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7202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0263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0263"/>
    <w:rPr>
      <w:rFonts w:eastAsiaTheme="minorHAnsi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rsid w:val="00B1499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33318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3331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6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2.jpeg"/><Relationship Id="rId7" Type="http://schemas.openxmlformats.org/officeDocument/2006/relationships/image" Target="media/image6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FFFA4B-F5EF-4F18-B39D-2D12415C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Marina Pancioni</cp:lastModifiedBy>
  <cp:revision>15</cp:revision>
  <cp:lastPrinted>2021-10-21T10:42:00Z</cp:lastPrinted>
  <dcterms:created xsi:type="dcterms:W3CDTF">2023-02-17T11:58:00Z</dcterms:created>
  <dcterms:modified xsi:type="dcterms:W3CDTF">2023-02-20T09:50:00Z</dcterms:modified>
</cp:coreProperties>
</file>