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41CE1" w14:textId="77777777" w:rsidR="00AB07F2" w:rsidRDefault="00AB07F2" w:rsidP="00245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4B509" w14:textId="77777777" w:rsidR="0075357C" w:rsidRDefault="0075357C" w:rsidP="00AB07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1F72F" w14:textId="7D338DF9" w:rsidR="00AB07F2" w:rsidRPr="00B76947" w:rsidRDefault="00AB07F2" w:rsidP="00AB07F2">
      <w:pPr>
        <w:spacing w:after="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B76947">
        <w:rPr>
          <w:rFonts w:ascii="Verdana" w:hAnsi="Verdana" w:cstheme="minorHAnsi"/>
          <w:b/>
          <w:bCs/>
          <w:sz w:val="20"/>
          <w:szCs w:val="20"/>
        </w:rPr>
        <w:t>COMUNICATO STAMPA</w:t>
      </w:r>
      <w:r w:rsidR="00C976E8" w:rsidRPr="00B76947">
        <w:rPr>
          <w:rFonts w:ascii="Verdana" w:hAnsi="Verdana" w:cstheme="minorHAnsi"/>
          <w:b/>
          <w:bCs/>
          <w:sz w:val="20"/>
          <w:szCs w:val="20"/>
        </w:rPr>
        <w:t xml:space="preserve"> CONGIUNTO</w:t>
      </w:r>
    </w:p>
    <w:p w14:paraId="58F4828A" w14:textId="77777777" w:rsidR="00AB07F2" w:rsidRPr="00B76947" w:rsidRDefault="00AB07F2" w:rsidP="00245942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3740D860" w14:textId="7F8AF68A" w:rsidR="003C4E00" w:rsidRPr="00B76947" w:rsidRDefault="003C4E00" w:rsidP="00245942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B76947">
        <w:rPr>
          <w:rFonts w:ascii="Verdana" w:hAnsi="Verdana" w:cstheme="minorHAnsi"/>
          <w:b/>
          <w:bCs/>
          <w:sz w:val="20"/>
          <w:szCs w:val="20"/>
        </w:rPr>
        <w:t xml:space="preserve">Le </w:t>
      </w:r>
      <w:r w:rsidR="00E823E2" w:rsidRPr="00B76947">
        <w:rPr>
          <w:rFonts w:ascii="Verdana" w:hAnsi="Verdana" w:cstheme="minorHAnsi"/>
          <w:b/>
          <w:bCs/>
          <w:sz w:val="20"/>
          <w:szCs w:val="20"/>
        </w:rPr>
        <w:t>A</w:t>
      </w:r>
      <w:r w:rsidRPr="00B76947">
        <w:rPr>
          <w:rFonts w:ascii="Verdana" w:hAnsi="Verdana" w:cstheme="minorHAnsi"/>
          <w:b/>
          <w:bCs/>
          <w:sz w:val="20"/>
          <w:szCs w:val="20"/>
        </w:rPr>
        <w:t xml:space="preserve">ssociazioni di categoria Ance Marche, Confindustria Marche, Cna Marche, Confartigianato Marche, Confapi Marche, Legacoop Marche e Claai Marche, insieme agli </w:t>
      </w:r>
      <w:r w:rsidR="00E823E2" w:rsidRPr="00B76947">
        <w:rPr>
          <w:rFonts w:ascii="Verdana" w:hAnsi="Verdana" w:cstheme="minorHAnsi"/>
          <w:b/>
          <w:bCs/>
          <w:sz w:val="20"/>
          <w:szCs w:val="20"/>
        </w:rPr>
        <w:t>O</w:t>
      </w:r>
      <w:r w:rsidRPr="00B76947">
        <w:rPr>
          <w:rFonts w:ascii="Verdana" w:hAnsi="Verdana" w:cstheme="minorHAnsi"/>
          <w:b/>
          <w:bCs/>
          <w:sz w:val="20"/>
          <w:szCs w:val="20"/>
        </w:rPr>
        <w:t xml:space="preserve">rdini professionali del </w:t>
      </w:r>
      <w:r w:rsidR="00E823E2" w:rsidRPr="00B76947">
        <w:rPr>
          <w:rFonts w:ascii="Verdana" w:hAnsi="Verdana" w:cstheme="minorHAnsi"/>
          <w:b/>
          <w:bCs/>
          <w:sz w:val="20"/>
          <w:szCs w:val="20"/>
        </w:rPr>
        <w:t>“</w:t>
      </w:r>
      <w:r w:rsidRPr="00B76947">
        <w:rPr>
          <w:rFonts w:ascii="Verdana" w:hAnsi="Verdana" w:cstheme="minorHAnsi"/>
          <w:b/>
          <w:bCs/>
          <w:sz w:val="20"/>
          <w:szCs w:val="20"/>
        </w:rPr>
        <w:t>sistema casa</w:t>
      </w:r>
      <w:r w:rsidR="00E823E2" w:rsidRPr="00B76947">
        <w:rPr>
          <w:rFonts w:ascii="Verdana" w:hAnsi="Verdana" w:cstheme="minorHAnsi"/>
          <w:b/>
          <w:bCs/>
          <w:sz w:val="20"/>
          <w:szCs w:val="20"/>
        </w:rPr>
        <w:t>”</w:t>
      </w:r>
      <w:r w:rsidRPr="00B76947">
        <w:rPr>
          <w:rFonts w:ascii="Verdana" w:hAnsi="Verdana" w:cstheme="minorHAnsi"/>
          <w:b/>
          <w:bCs/>
          <w:sz w:val="20"/>
          <w:szCs w:val="20"/>
        </w:rPr>
        <w:t>, hanno incontrato il sottosegretario al Mise Lucia Albano</w:t>
      </w:r>
      <w:r w:rsidR="00CA02A4" w:rsidRPr="00B76947">
        <w:rPr>
          <w:rFonts w:ascii="Verdana" w:hAnsi="Verdana" w:cstheme="minorHAnsi"/>
          <w:b/>
          <w:bCs/>
          <w:sz w:val="20"/>
          <w:szCs w:val="20"/>
        </w:rPr>
        <w:t>,</w:t>
      </w:r>
      <w:r w:rsidRPr="00B76947">
        <w:rPr>
          <w:rFonts w:ascii="Verdana" w:hAnsi="Verdana" w:cstheme="minorHAnsi"/>
          <w:b/>
          <w:bCs/>
          <w:sz w:val="20"/>
          <w:szCs w:val="20"/>
        </w:rPr>
        <w:t xml:space="preserve"> il </w:t>
      </w:r>
      <w:r w:rsidR="00CA02A4" w:rsidRPr="00B76947">
        <w:rPr>
          <w:rFonts w:ascii="Verdana" w:hAnsi="Verdana" w:cstheme="minorHAnsi"/>
          <w:b/>
          <w:bCs/>
          <w:sz w:val="20"/>
          <w:szCs w:val="20"/>
        </w:rPr>
        <w:t>P</w:t>
      </w:r>
      <w:r w:rsidRPr="00B76947">
        <w:rPr>
          <w:rFonts w:ascii="Verdana" w:hAnsi="Verdana" w:cstheme="minorHAnsi"/>
          <w:b/>
          <w:bCs/>
          <w:sz w:val="20"/>
          <w:szCs w:val="20"/>
        </w:rPr>
        <w:t xml:space="preserve">residente della Regione Marche Francesco Acquaroli </w:t>
      </w:r>
      <w:r w:rsidR="00CA02A4" w:rsidRPr="00B76947">
        <w:rPr>
          <w:rFonts w:ascii="Verdana" w:hAnsi="Verdana" w:cstheme="minorHAnsi"/>
          <w:b/>
          <w:bCs/>
          <w:sz w:val="20"/>
          <w:szCs w:val="20"/>
        </w:rPr>
        <w:t xml:space="preserve">e l’Assessore Francesco Baldelli </w:t>
      </w:r>
      <w:r w:rsidRPr="00B76947">
        <w:rPr>
          <w:rFonts w:ascii="Verdana" w:hAnsi="Verdana" w:cstheme="minorHAnsi"/>
          <w:b/>
          <w:bCs/>
          <w:sz w:val="20"/>
          <w:szCs w:val="20"/>
        </w:rPr>
        <w:t>per chiedere un impegno comune per superare il blocco della cessione dei crediti da bonus edilizi, che sta mettendo in difficoltà imprese, professionisti e famiglie</w:t>
      </w:r>
    </w:p>
    <w:p w14:paraId="4DB9B876" w14:textId="77777777" w:rsidR="003C4E00" w:rsidRPr="00B76947" w:rsidRDefault="003C4E00" w:rsidP="00245942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68E65BAF" w14:textId="6EEE0F21" w:rsidR="00AB07F2" w:rsidRPr="00B76947" w:rsidRDefault="005A4009" w:rsidP="00AB07F2">
      <w:pPr>
        <w:spacing w:after="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B76947">
        <w:rPr>
          <w:rFonts w:ascii="Verdana" w:hAnsi="Verdana" w:cstheme="minorHAnsi"/>
          <w:b/>
          <w:bCs/>
          <w:sz w:val="20"/>
          <w:szCs w:val="20"/>
        </w:rPr>
        <w:t>“</w:t>
      </w:r>
      <w:r w:rsidR="008C0A2D" w:rsidRPr="00B76947">
        <w:rPr>
          <w:rFonts w:ascii="Verdana" w:hAnsi="Verdana" w:cstheme="minorHAnsi"/>
          <w:b/>
          <w:bCs/>
          <w:sz w:val="20"/>
          <w:szCs w:val="20"/>
        </w:rPr>
        <w:t>SUPER</w:t>
      </w:r>
      <w:r w:rsidR="003C4E00" w:rsidRPr="00B76947">
        <w:rPr>
          <w:rFonts w:ascii="Verdana" w:hAnsi="Verdana" w:cstheme="minorHAnsi"/>
          <w:b/>
          <w:bCs/>
          <w:sz w:val="20"/>
          <w:szCs w:val="20"/>
        </w:rPr>
        <w:t>BONUS, 1300 IMPRESE EDILI E 5 MILA PROPRIETARI DI ABITAZIONI</w:t>
      </w:r>
    </w:p>
    <w:p w14:paraId="1BB96551" w14:textId="65836F7B" w:rsidR="008C0A2D" w:rsidRPr="00B76947" w:rsidRDefault="003C4E00" w:rsidP="005A4009">
      <w:pPr>
        <w:spacing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B76947">
        <w:rPr>
          <w:rFonts w:ascii="Verdana" w:hAnsi="Verdana" w:cstheme="minorHAnsi"/>
          <w:b/>
          <w:bCs/>
          <w:sz w:val="20"/>
          <w:szCs w:val="20"/>
        </w:rPr>
        <w:t>NEI GUAI PER IL BLOCCO DEI CREDITI. LE ASSOCIAZIONI CHIEDONO SOLUZIONI.</w:t>
      </w:r>
      <w:r w:rsidR="005A4009" w:rsidRPr="00B76947">
        <w:rPr>
          <w:rFonts w:ascii="Verdana" w:hAnsi="Verdana" w:cstheme="minorHAnsi"/>
          <w:b/>
          <w:bCs/>
          <w:sz w:val="20"/>
          <w:szCs w:val="20"/>
        </w:rPr>
        <w:t>”</w:t>
      </w:r>
    </w:p>
    <w:p w14:paraId="3270898D" w14:textId="32EB662E" w:rsidR="003C4E00" w:rsidRPr="00B76947" w:rsidRDefault="003C4E00" w:rsidP="00C976E8">
      <w:pPr>
        <w:spacing w:after="0" w:line="240" w:lineRule="auto"/>
        <w:jc w:val="center"/>
        <w:rPr>
          <w:rFonts w:ascii="Verdana" w:hAnsi="Verdana" w:cstheme="minorHAnsi"/>
          <w:b/>
          <w:bCs/>
          <w:i/>
          <w:iCs/>
          <w:sz w:val="20"/>
          <w:szCs w:val="20"/>
        </w:rPr>
      </w:pPr>
      <w:r w:rsidRPr="00B76947">
        <w:rPr>
          <w:rStyle w:val="markedcontent"/>
          <w:rFonts w:ascii="Verdana" w:hAnsi="Verdana" w:cstheme="minorHAnsi"/>
          <w:b/>
          <w:bCs/>
          <w:i/>
          <w:iCs/>
          <w:sz w:val="20"/>
          <w:szCs w:val="20"/>
        </w:rPr>
        <w:t xml:space="preserve">Malgrado il cambio delle regole e la situazione di incertezza, anche nei primi due mesi del 2023, sono state presentate nuove pratiche di ammissione al Superbonus. </w:t>
      </w:r>
      <w:r w:rsidR="005340A6" w:rsidRPr="00B76947">
        <w:rPr>
          <w:rStyle w:val="markedcontent"/>
          <w:rFonts w:ascii="Verdana" w:hAnsi="Verdana" w:cstheme="minorHAnsi"/>
          <w:b/>
          <w:bCs/>
          <w:i/>
          <w:iCs/>
          <w:sz w:val="20"/>
          <w:szCs w:val="20"/>
        </w:rPr>
        <w:t>In particolare,</w:t>
      </w:r>
      <w:r w:rsidRPr="00B76947">
        <w:rPr>
          <w:rStyle w:val="markedcontent"/>
          <w:rFonts w:ascii="Verdana" w:hAnsi="Verdana" w:cstheme="minorHAnsi"/>
          <w:b/>
          <w:bCs/>
          <w:i/>
          <w:iCs/>
          <w:sz w:val="20"/>
          <w:szCs w:val="20"/>
        </w:rPr>
        <w:t xml:space="preserve"> a gennaio le asseverazioni sono state 385 per 66 milioni di euro e a febbraio 349 per 75 milioni di euro.</w:t>
      </w:r>
    </w:p>
    <w:p w14:paraId="2259B7BF" w14:textId="77777777" w:rsidR="003C4E00" w:rsidRPr="00B76947" w:rsidRDefault="003C4E00" w:rsidP="0024594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6EAE5D6" w14:textId="10E0C85A" w:rsidR="006C2CE2" w:rsidRPr="00B76947" w:rsidRDefault="00D15A77" w:rsidP="006F2608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B76947">
        <w:rPr>
          <w:rFonts w:ascii="Verdana" w:hAnsi="Verdana" w:cstheme="minorHAnsi"/>
          <w:sz w:val="20"/>
          <w:szCs w:val="20"/>
        </w:rPr>
        <w:t xml:space="preserve">Sono più di 1.300 le imprese edili marchigiane rimaste in mezzo al guado del </w:t>
      </w:r>
      <w:r w:rsidRPr="00B76947">
        <w:rPr>
          <w:rFonts w:ascii="Verdana" w:hAnsi="Verdana" w:cstheme="minorHAnsi"/>
          <w:i/>
          <w:iCs/>
          <w:sz w:val="20"/>
          <w:szCs w:val="20"/>
        </w:rPr>
        <w:t>Superbonus</w:t>
      </w:r>
      <w:r w:rsidRPr="00B76947">
        <w:rPr>
          <w:rFonts w:ascii="Verdana" w:hAnsi="Verdana" w:cstheme="minorHAnsi"/>
          <w:sz w:val="20"/>
          <w:szCs w:val="20"/>
        </w:rPr>
        <w:t xml:space="preserve">, con 7 mila lavoratori che rischiano cassa integrazione o licenziamento. </w:t>
      </w:r>
      <w:r w:rsidR="000D1A26" w:rsidRPr="00B76947">
        <w:rPr>
          <w:rFonts w:ascii="Verdana" w:hAnsi="Verdana" w:cstheme="minorHAnsi"/>
          <w:sz w:val="20"/>
          <w:szCs w:val="20"/>
        </w:rPr>
        <w:t>È</w:t>
      </w:r>
      <w:r w:rsidRPr="00B76947">
        <w:rPr>
          <w:rFonts w:ascii="Verdana" w:hAnsi="Verdana" w:cstheme="minorHAnsi"/>
          <w:sz w:val="20"/>
          <w:szCs w:val="20"/>
        </w:rPr>
        <w:t xml:space="preserve"> questo l’effetto </w:t>
      </w:r>
      <w:r w:rsidR="009366BD" w:rsidRPr="00B76947">
        <w:rPr>
          <w:rFonts w:ascii="Verdana" w:hAnsi="Verdana" w:cstheme="minorHAnsi"/>
          <w:sz w:val="20"/>
          <w:szCs w:val="20"/>
        </w:rPr>
        <w:t xml:space="preserve">delle ripetute modifiche </w:t>
      </w:r>
      <w:r w:rsidR="00095620" w:rsidRPr="00B76947">
        <w:rPr>
          <w:rFonts w:ascii="Verdana" w:hAnsi="Verdana" w:cstheme="minorHAnsi"/>
          <w:sz w:val="20"/>
          <w:szCs w:val="20"/>
        </w:rPr>
        <w:t>normative</w:t>
      </w:r>
      <w:r w:rsidR="009366BD" w:rsidRPr="00B76947">
        <w:rPr>
          <w:rFonts w:ascii="Verdana" w:hAnsi="Verdana" w:cstheme="minorHAnsi"/>
          <w:sz w:val="20"/>
          <w:szCs w:val="20"/>
        </w:rPr>
        <w:t xml:space="preserve"> che hanno interessato la misura, compreso l’ultimo intervento ad opera del DL11/2023 che ha introdotto</w:t>
      </w:r>
      <w:r w:rsidRPr="00B76947">
        <w:rPr>
          <w:rFonts w:ascii="Verdana" w:hAnsi="Verdana" w:cstheme="minorHAnsi"/>
          <w:sz w:val="20"/>
          <w:szCs w:val="20"/>
        </w:rPr>
        <w:t xml:space="preserve"> il blocco della cessione del credito e dello sconto in fattura. Così</w:t>
      </w:r>
      <w:r w:rsidR="00E02647" w:rsidRPr="00B76947">
        <w:rPr>
          <w:rFonts w:ascii="Verdana" w:hAnsi="Verdana" w:cstheme="minorHAnsi"/>
          <w:sz w:val="20"/>
          <w:szCs w:val="20"/>
        </w:rPr>
        <w:t>,</w:t>
      </w:r>
      <w:r w:rsidRPr="00B76947">
        <w:rPr>
          <w:rFonts w:ascii="Verdana" w:hAnsi="Verdana" w:cstheme="minorHAnsi"/>
          <w:sz w:val="20"/>
          <w:szCs w:val="20"/>
        </w:rPr>
        <w:t xml:space="preserve"> i crediti incagliati</w:t>
      </w:r>
      <w:r w:rsidR="00E823E2" w:rsidRPr="00B76947">
        <w:rPr>
          <w:rFonts w:ascii="Verdana" w:hAnsi="Verdana" w:cstheme="minorHAnsi"/>
          <w:sz w:val="20"/>
          <w:szCs w:val="20"/>
        </w:rPr>
        <w:t xml:space="preserve"> nelle Marche</w:t>
      </w:r>
      <w:r w:rsidRPr="00B76947">
        <w:rPr>
          <w:rFonts w:ascii="Verdana" w:hAnsi="Verdana" w:cstheme="minorHAnsi"/>
          <w:sz w:val="20"/>
          <w:szCs w:val="20"/>
        </w:rPr>
        <w:t>, pari a</w:t>
      </w:r>
      <w:r w:rsidR="00E823E2" w:rsidRPr="00B76947">
        <w:rPr>
          <w:rFonts w:ascii="Verdana" w:hAnsi="Verdana" w:cstheme="minorHAnsi"/>
          <w:sz w:val="20"/>
          <w:szCs w:val="20"/>
        </w:rPr>
        <w:t xml:space="preserve"> quasi</w:t>
      </w:r>
      <w:r w:rsidRPr="00B76947">
        <w:rPr>
          <w:rFonts w:ascii="Verdana" w:hAnsi="Verdana" w:cstheme="minorHAnsi"/>
          <w:sz w:val="20"/>
          <w:szCs w:val="20"/>
        </w:rPr>
        <w:t xml:space="preserve"> un miliardo di euro, sono rimasti in pancia alle imprese</w:t>
      </w:r>
      <w:r w:rsidR="00704FFE" w:rsidRPr="00B76947">
        <w:rPr>
          <w:rFonts w:ascii="Verdana" w:hAnsi="Verdana" w:cstheme="minorHAnsi"/>
          <w:sz w:val="20"/>
          <w:szCs w:val="20"/>
        </w:rPr>
        <w:t xml:space="preserve"> e ai proprietari delle abitazioni. </w:t>
      </w:r>
      <w:r w:rsidRPr="00B76947">
        <w:rPr>
          <w:rFonts w:ascii="Verdana" w:hAnsi="Verdana" w:cstheme="minorHAnsi"/>
          <w:sz w:val="20"/>
          <w:szCs w:val="20"/>
        </w:rPr>
        <w:t xml:space="preserve"> Senza sblocco dei crediti 3 mila cantieri si sono fermati o non sono neanche partiti, dopo aver fatto tutte le pratiche richieste. Nelle Marche 5 mila </w:t>
      </w:r>
      <w:r w:rsidR="00BE3480" w:rsidRPr="00B76947">
        <w:rPr>
          <w:rFonts w:ascii="Verdana" w:hAnsi="Verdana" w:cstheme="minorHAnsi"/>
          <w:sz w:val="20"/>
          <w:szCs w:val="20"/>
        </w:rPr>
        <w:t xml:space="preserve">proprietari </w:t>
      </w:r>
      <w:r w:rsidRPr="00B76947">
        <w:rPr>
          <w:rFonts w:ascii="Verdana" w:hAnsi="Verdana" w:cstheme="minorHAnsi"/>
          <w:sz w:val="20"/>
          <w:szCs w:val="20"/>
        </w:rPr>
        <w:t xml:space="preserve">di immobili </w:t>
      </w:r>
      <w:r w:rsidR="00BE3480" w:rsidRPr="00B76947">
        <w:rPr>
          <w:rFonts w:ascii="Verdana" w:hAnsi="Verdana" w:cstheme="minorHAnsi"/>
          <w:sz w:val="20"/>
          <w:szCs w:val="20"/>
        </w:rPr>
        <w:t xml:space="preserve">sono </w:t>
      </w:r>
      <w:r w:rsidR="003C4E00" w:rsidRPr="00B76947">
        <w:rPr>
          <w:rFonts w:ascii="Verdana" w:hAnsi="Verdana" w:cstheme="minorHAnsi"/>
          <w:sz w:val="20"/>
          <w:szCs w:val="20"/>
        </w:rPr>
        <w:t xml:space="preserve">nei guai </w:t>
      </w:r>
      <w:r w:rsidR="00BE3480" w:rsidRPr="00B76947">
        <w:rPr>
          <w:rFonts w:ascii="Verdana" w:hAnsi="Verdana" w:cstheme="minorHAnsi"/>
          <w:sz w:val="20"/>
          <w:szCs w:val="20"/>
        </w:rPr>
        <w:t xml:space="preserve">avendo puntato sul superbonus per ristrutturare e valorizzare le </w:t>
      </w:r>
      <w:r w:rsidR="00704FFE" w:rsidRPr="00B76947">
        <w:rPr>
          <w:rFonts w:ascii="Verdana" w:hAnsi="Verdana" w:cstheme="minorHAnsi"/>
          <w:sz w:val="20"/>
          <w:szCs w:val="20"/>
        </w:rPr>
        <w:t xml:space="preserve">case. </w:t>
      </w:r>
      <w:r w:rsidR="00BE3480" w:rsidRPr="00B76947">
        <w:rPr>
          <w:rFonts w:ascii="Verdana" w:hAnsi="Verdana" w:cstheme="minorHAnsi"/>
          <w:sz w:val="20"/>
          <w:szCs w:val="20"/>
        </w:rPr>
        <w:t xml:space="preserve"> </w:t>
      </w:r>
    </w:p>
    <w:p w14:paraId="7ED1B595" w14:textId="7D14A876" w:rsidR="00E02647" w:rsidRPr="00B76947" w:rsidRDefault="00252E33" w:rsidP="006F2608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B76947">
        <w:rPr>
          <w:rFonts w:ascii="Verdana" w:hAnsi="Verdana" w:cstheme="minorHAnsi"/>
          <w:sz w:val="20"/>
          <w:szCs w:val="20"/>
        </w:rPr>
        <w:t>Le associazioni di categoria Ance Marche, Confindustria Marche, Cna Marche, Confartigianato Marche</w:t>
      </w:r>
      <w:r w:rsidR="008A7E95" w:rsidRPr="00B76947">
        <w:rPr>
          <w:rFonts w:ascii="Verdana" w:hAnsi="Verdana" w:cstheme="minorHAnsi"/>
          <w:sz w:val="20"/>
          <w:szCs w:val="20"/>
        </w:rPr>
        <w:t>,</w:t>
      </w:r>
      <w:r w:rsidRPr="00B76947">
        <w:rPr>
          <w:rFonts w:ascii="Verdana" w:hAnsi="Verdana" w:cstheme="minorHAnsi"/>
          <w:sz w:val="20"/>
          <w:szCs w:val="20"/>
        </w:rPr>
        <w:t xml:space="preserve"> Confapi Marche, Legacoop Marche e Cl</w:t>
      </w:r>
      <w:r w:rsidR="00DA55A3" w:rsidRPr="00B76947">
        <w:rPr>
          <w:rFonts w:ascii="Verdana" w:hAnsi="Verdana" w:cstheme="minorHAnsi"/>
          <w:sz w:val="20"/>
          <w:szCs w:val="20"/>
        </w:rPr>
        <w:t>a</w:t>
      </w:r>
      <w:r w:rsidRPr="00B76947">
        <w:rPr>
          <w:rFonts w:ascii="Verdana" w:hAnsi="Verdana" w:cstheme="minorHAnsi"/>
          <w:sz w:val="20"/>
          <w:szCs w:val="20"/>
        </w:rPr>
        <w:t>ai Marche</w:t>
      </w:r>
      <w:r w:rsidR="00DA55A3" w:rsidRPr="00B76947">
        <w:rPr>
          <w:rFonts w:ascii="Verdana" w:hAnsi="Verdana" w:cstheme="minorHAnsi"/>
          <w:sz w:val="20"/>
          <w:szCs w:val="20"/>
        </w:rPr>
        <w:t xml:space="preserve">, insieme </w:t>
      </w:r>
      <w:r w:rsidR="000D1A26" w:rsidRPr="00B76947">
        <w:rPr>
          <w:rFonts w:ascii="Verdana" w:hAnsi="Verdana" w:cstheme="minorHAnsi"/>
          <w:sz w:val="20"/>
          <w:szCs w:val="20"/>
        </w:rPr>
        <w:t>all</w:t>
      </w:r>
      <w:r w:rsidR="006F3D08" w:rsidRPr="00B76947">
        <w:rPr>
          <w:rFonts w:ascii="Verdana" w:hAnsi="Verdana" w:cstheme="minorHAnsi"/>
          <w:sz w:val="20"/>
          <w:szCs w:val="20"/>
        </w:rPr>
        <w:t>a</w:t>
      </w:r>
      <w:r w:rsidR="000D1A26" w:rsidRPr="00B76947">
        <w:rPr>
          <w:rFonts w:ascii="Verdana" w:hAnsi="Verdana" w:cstheme="minorHAnsi"/>
          <w:sz w:val="20"/>
          <w:szCs w:val="20"/>
        </w:rPr>
        <w:t xml:space="preserve"> Federazion</w:t>
      </w:r>
      <w:r w:rsidR="006F3D08" w:rsidRPr="00B76947">
        <w:rPr>
          <w:rFonts w:ascii="Verdana" w:hAnsi="Verdana" w:cstheme="minorHAnsi"/>
          <w:sz w:val="20"/>
          <w:szCs w:val="20"/>
        </w:rPr>
        <w:t>e</w:t>
      </w:r>
      <w:r w:rsidR="000D1A26" w:rsidRPr="00B76947">
        <w:rPr>
          <w:rFonts w:ascii="Verdana" w:hAnsi="Verdana" w:cstheme="minorHAnsi"/>
          <w:sz w:val="20"/>
          <w:szCs w:val="20"/>
        </w:rPr>
        <w:t xml:space="preserve"> degli Ordini Professionali degli Ingegneri </w:t>
      </w:r>
      <w:r w:rsidR="006F3D08" w:rsidRPr="00B76947">
        <w:rPr>
          <w:rFonts w:ascii="Verdana" w:hAnsi="Verdana" w:cstheme="minorHAnsi"/>
          <w:sz w:val="20"/>
          <w:szCs w:val="20"/>
        </w:rPr>
        <w:t xml:space="preserve">delle Marche e </w:t>
      </w:r>
      <w:r w:rsidR="00E02647" w:rsidRPr="00B76947">
        <w:rPr>
          <w:rFonts w:ascii="Verdana" w:hAnsi="Verdana" w:cstheme="minorHAnsi"/>
          <w:sz w:val="20"/>
          <w:szCs w:val="20"/>
        </w:rPr>
        <w:t>al</w:t>
      </w:r>
      <w:r w:rsidR="006F3D08" w:rsidRPr="00B76947">
        <w:rPr>
          <w:rFonts w:ascii="Verdana" w:hAnsi="Verdana" w:cstheme="minorHAnsi"/>
          <w:sz w:val="20"/>
          <w:szCs w:val="20"/>
        </w:rPr>
        <w:t>la</w:t>
      </w:r>
      <w:r w:rsidR="00E02647" w:rsidRPr="00B76947">
        <w:rPr>
          <w:rFonts w:ascii="Verdana" w:hAnsi="Verdana" w:cstheme="minorHAnsi"/>
          <w:sz w:val="20"/>
          <w:szCs w:val="20"/>
        </w:rPr>
        <w:t xml:space="preserve"> </w:t>
      </w:r>
      <w:r w:rsidR="006F3D08" w:rsidRPr="00B76947">
        <w:rPr>
          <w:rFonts w:ascii="Verdana" w:hAnsi="Verdana" w:cstheme="minorHAnsi"/>
          <w:sz w:val="20"/>
          <w:szCs w:val="20"/>
        </w:rPr>
        <w:t>Federazione degli Ordini</w:t>
      </w:r>
      <w:r w:rsidR="000D1A26" w:rsidRPr="00B76947">
        <w:rPr>
          <w:rFonts w:ascii="Verdana" w:hAnsi="Verdana" w:cstheme="minorHAnsi"/>
          <w:sz w:val="20"/>
          <w:szCs w:val="20"/>
        </w:rPr>
        <w:t xml:space="preserve"> </w:t>
      </w:r>
      <w:r w:rsidR="006F3D08" w:rsidRPr="00B76947">
        <w:rPr>
          <w:rFonts w:ascii="Verdana" w:hAnsi="Verdana" w:cstheme="minorHAnsi"/>
          <w:sz w:val="20"/>
          <w:szCs w:val="20"/>
        </w:rPr>
        <w:t xml:space="preserve">Professionali </w:t>
      </w:r>
      <w:r w:rsidR="000D1A26" w:rsidRPr="00B76947">
        <w:rPr>
          <w:rFonts w:ascii="Verdana" w:hAnsi="Verdana" w:cstheme="minorHAnsi"/>
          <w:sz w:val="20"/>
          <w:szCs w:val="20"/>
        </w:rPr>
        <w:t>degli Architetti</w:t>
      </w:r>
      <w:r w:rsidR="00DA55A3" w:rsidRPr="00B76947">
        <w:rPr>
          <w:rFonts w:ascii="Verdana" w:hAnsi="Verdana" w:cstheme="minorHAnsi"/>
          <w:sz w:val="20"/>
          <w:szCs w:val="20"/>
        </w:rPr>
        <w:t xml:space="preserve">, hanno incontrato il </w:t>
      </w:r>
      <w:r w:rsidR="000E39E5" w:rsidRPr="00B76947">
        <w:rPr>
          <w:rFonts w:ascii="Verdana" w:hAnsi="Verdana" w:cstheme="minorHAnsi"/>
          <w:sz w:val="20"/>
          <w:szCs w:val="20"/>
        </w:rPr>
        <w:t>S</w:t>
      </w:r>
      <w:r w:rsidR="00DA55A3" w:rsidRPr="00B76947">
        <w:rPr>
          <w:rFonts w:ascii="Verdana" w:hAnsi="Verdana" w:cstheme="minorHAnsi"/>
          <w:sz w:val="20"/>
          <w:szCs w:val="20"/>
        </w:rPr>
        <w:t>ottosegretario al Mise Lucia Albano</w:t>
      </w:r>
      <w:r w:rsidR="00CA02A4" w:rsidRPr="00B76947">
        <w:rPr>
          <w:rFonts w:ascii="Verdana" w:hAnsi="Verdana" w:cstheme="minorHAnsi"/>
          <w:sz w:val="20"/>
          <w:szCs w:val="20"/>
        </w:rPr>
        <w:t xml:space="preserve">, </w:t>
      </w:r>
      <w:r w:rsidR="00DA55A3" w:rsidRPr="00B76947">
        <w:rPr>
          <w:rFonts w:ascii="Verdana" w:hAnsi="Verdana" w:cstheme="minorHAnsi"/>
          <w:sz w:val="20"/>
          <w:szCs w:val="20"/>
        </w:rPr>
        <w:t xml:space="preserve">il </w:t>
      </w:r>
      <w:r w:rsidR="00CA02A4" w:rsidRPr="00B76947">
        <w:rPr>
          <w:rFonts w:ascii="Verdana" w:hAnsi="Verdana" w:cstheme="minorHAnsi"/>
          <w:sz w:val="20"/>
          <w:szCs w:val="20"/>
        </w:rPr>
        <w:t>P</w:t>
      </w:r>
      <w:r w:rsidR="00DA55A3" w:rsidRPr="00B76947">
        <w:rPr>
          <w:rFonts w:ascii="Verdana" w:hAnsi="Verdana" w:cstheme="minorHAnsi"/>
          <w:sz w:val="20"/>
          <w:szCs w:val="20"/>
        </w:rPr>
        <w:t xml:space="preserve">residente </w:t>
      </w:r>
      <w:r w:rsidR="00CA02A4" w:rsidRPr="00B76947">
        <w:rPr>
          <w:rFonts w:ascii="Verdana" w:hAnsi="Verdana" w:cstheme="minorHAnsi"/>
          <w:sz w:val="20"/>
          <w:szCs w:val="20"/>
        </w:rPr>
        <w:t xml:space="preserve">Acquaroli e l’Assessore Baldelli </w:t>
      </w:r>
      <w:r w:rsidR="00DA55A3" w:rsidRPr="00B76947">
        <w:rPr>
          <w:rFonts w:ascii="Verdana" w:hAnsi="Verdana" w:cstheme="minorHAnsi"/>
          <w:sz w:val="20"/>
          <w:szCs w:val="20"/>
        </w:rPr>
        <w:t>della Regione Marche</w:t>
      </w:r>
      <w:r w:rsidR="00E02647" w:rsidRPr="00B76947">
        <w:rPr>
          <w:rFonts w:ascii="Verdana" w:hAnsi="Verdana" w:cstheme="minorHAnsi"/>
          <w:sz w:val="20"/>
          <w:szCs w:val="20"/>
        </w:rPr>
        <w:t>,</w:t>
      </w:r>
      <w:r w:rsidR="00DA55A3" w:rsidRPr="00B76947">
        <w:rPr>
          <w:rFonts w:ascii="Verdana" w:hAnsi="Verdana" w:cstheme="minorHAnsi"/>
          <w:sz w:val="20"/>
          <w:szCs w:val="20"/>
        </w:rPr>
        <w:t xml:space="preserve"> per chiedere un impegno comune per superare il blocco della cessione dei crediti da bonus edilizi, che sta mettendo in difficoltà imprese, professionisti e famiglie. </w:t>
      </w:r>
    </w:p>
    <w:p w14:paraId="45868125" w14:textId="3236E3E6" w:rsidR="006F2608" w:rsidRPr="00B76947" w:rsidRDefault="003307C3" w:rsidP="00E02647">
      <w:pPr>
        <w:spacing w:after="0" w:line="240" w:lineRule="auto"/>
        <w:jc w:val="both"/>
        <w:rPr>
          <w:rStyle w:val="markedcontent"/>
          <w:rFonts w:ascii="Verdana" w:hAnsi="Verdana" w:cstheme="minorHAnsi"/>
          <w:sz w:val="20"/>
          <w:szCs w:val="20"/>
        </w:rPr>
      </w:pPr>
      <w:r w:rsidRPr="00B76947">
        <w:rPr>
          <w:rFonts w:ascii="Verdana" w:hAnsi="Verdana" w:cstheme="minorHAnsi"/>
          <w:sz w:val="20"/>
          <w:szCs w:val="20"/>
        </w:rPr>
        <w:t xml:space="preserve">A forte rischio, in particolare 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 xml:space="preserve">le imprese del “sistema casa” (costruttori, impiantisti, produttori e rivenditori di </w:t>
      </w:r>
      <w:r w:rsidR="00BD51A6" w:rsidRPr="00B76947">
        <w:rPr>
          <w:rStyle w:val="markedcontent"/>
          <w:rFonts w:ascii="Verdana" w:hAnsi="Verdana" w:cstheme="minorHAnsi"/>
          <w:sz w:val="20"/>
          <w:szCs w:val="20"/>
        </w:rPr>
        <w:t>materiali</w:t>
      </w:r>
      <w:r w:rsidR="000F5E8B" w:rsidRPr="00B76947">
        <w:rPr>
          <w:rStyle w:val="markedcontent"/>
          <w:rFonts w:ascii="Verdana" w:hAnsi="Verdana" w:cstheme="minorHAnsi"/>
          <w:sz w:val="20"/>
          <w:szCs w:val="20"/>
        </w:rPr>
        <w:t xml:space="preserve"> 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>edili), i professionisti e i cittadini, che non sono riusciti a monetizzare il credito. Tra le aziende edili, da un lato ci sono quelle che hanno concluso i lavori facendo</w:t>
      </w:r>
      <w:r w:rsidR="006F2608" w:rsidRPr="00B76947">
        <w:rPr>
          <w:rStyle w:val="markedcontent"/>
          <w:rFonts w:ascii="Verdana" w:hAnsi="Verdana" w:cstheme="minorHAnsi"/>
          <w:sz w:val="20"/>
          <w:szCs w:val="20"/>
        </w:rPr>
        <w:t xml:space="preserve"> 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>ricorso alle proprie disponibilità finanziarie e che adesso si trovano esposte con le</w:t>
      </w:r>
      <w:r w:rsidR="006F2608" w:rsidRPr="00B76947">
        <w:rPr>
          <w:rStyle w:val="markedcontent"/>
          <w:rFonts w:ascii="Verdana" w:hAnsi="Verdana" w:cstheme="minorHAnsi"/>
          <w:sz w:val="20"/>
          <w:szCs w:val="20"/>
        </w:rPr>
        <w:t xml:space="preserve"> 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>controparti coinvolte (fornitori, lavoratori, professionisti, banche) a rischio di fallimento.</w:t>
      </w:r>
    </w:p>
    <w:p w14:paraId="5C803F92" w14:textId="552D91C2" w:rsidR="000F5E8B" w:rsidRPr="00B76947" w:rsidRDefault="003307C3" w:rsidP="006F2608">
      <w:pPr>
        <w:spacing w:after="120" w:line="240" w:lineRule="auto"/>
        <w:jc w:val="both"/>
        <w:rPr>
          <w:rStyle w:val="markedcontent"/>
          <w:rFonts w:ascii="Verdana" w:hAnsi="Verdana" w:cstheme="minorHAnsi"/>
          <w:sz w:val="20"/>
          <w:szCs w:val="20"/>
        </w:rPr>
      </w:pPr>
      <w:r w:rsidRPr="00B76947">
        <w:rPr>
          <w:rStyle w:val="markedcontent"/>
          <w:rFonts w:ascii="Verdana" w:hAnsi="Verdana" w:cstheme="minorHAnsi"/>
          <w:sz w:val="20"/>
          <w:szCs w:val="20"/>
        </w:rPr>
        <w:t>Dall’altro, ci sono quelle che, invece, non avendo più liquidità, hanno dovuto interrompere</w:t>
      </w:r>
      <w:r w:rsidR="006F2608" w:rsidRPr="00B76947">
        <w:rPr>
          <w:rStyle w:val="markedcontent"/>
          <w:rFonts w:ascii="Verdana" w:hAnsi="Verdana" w:cstheme="minorHAnsi"/>
          <w:sz w:val="20"/>
          <w:szCs w:val="20"/>
        </w:rPr>
        <w:t xml:space="preserve"> 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>i lavori. Queste ultime, laddove non riuscissero a terminare gli interventi entro le scadenze</w:t>
      </w:r>
      <w:r w:rsidR="006F2608" w:rsidRPr="00B76947">
        <w:rPr>
          <w:rStyle w:val="markedcontent"/>
          <w:rFonts w:ascii="Verdana" w:hAnsi="Verdana" w:cstheme="minorHAnsi"/>
          <w:sz w:val="20"/>
          <w:szCs w:val="20"/>
        </w:rPr>
        <w:t xml:space="preserve"> 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>di legge, si troveranno esposte non solo con tutte le controparti, ma anche nei confronti dei</w:t>
      </w:r>
      <w:r w:rsidR="006F2608" w:rsidRPr="00B76947">
        <w:rPr>
          <w:rStyle w:val="markedcontent"/>
          <w:rFonts w:ascii="Verdana" w:hAnsi="Verdana" w:cstheme="minorHAnsi"/>
          <w:sz w:val="20"/>
          <w:szCs w:val="20"/>
        </w:rPr>
        <w:t xml:space="preserve"> 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>propri committenti (famiglia o condominio), con un elevato rischio di contenzioso, dal</w:t>
      </w:r>
      <w:r w:rsidR="006F2608" w:rsidRPr="00B76947">
        <w:rPr>
          <w:rStyle w:val="markedcontent"/>
          <w:rFonts w:ascii="Verdana" w:hAnsi="Verdana" w:cstheme="minorHAnsi"/>
          <w:sz w:val="20"/>
          <w:szCs w:val="20"/>
        </w:rPr>
        <w:t xml:space="preserve"> 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 xml:space="preserve">momento </w:t>
      </w:r>
      <w:r w:rsidR="0099375D" w:rsidRPr="00B76947">
        <w:rPr>
          <w:rStyle w:val="markedcontent"/>
          <w:rFonts w:ascii="Verdana" w:hAnsi="Verdana" w:cstheme="minorHAnsi"/>
          <w:sz w:val="20"/>
          <w:szCs w:val="20"/>
        </w:rPr>
        <w:t xml:space="preserve">che dovranno 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>restituire all’Erario ingenti somme di denaro</w:t>
      </w:r>
      <w:r w:rsidR="000F5E8B" w:rsidRPr="00B76947">
        <w:rPr>
          <w:rStyle w:val="markedcontent"/>
          <w:rFonts w:ascii="Verdana" w:hAnsi="Verdana" w:cstheme="minorHAnsi"/>
          <w:sz w:val="20"/>
          <w:szCs w:val="20"/>
        </w:rPr>
        <w:t>.</w:t>
      </w:r>
      <w:r w:rsidR="00A1602F" w:rsidRPr="00B76947">
        <w:rPr>
          <w:rStyle w:val="markedcontent"/>
          <w:rFonts w:ascii="Verdana" w:hAnsi="Verdana" w:cstheme="minorHAnsi"/>
          <w:sz w:val="20"/>
          <w:szCs w:val="20"/>
        </w:rPr>
        <w:t xml:space="preserve"> Senza considerare il rischio usura per</w:t>
      </w:r>
      <w:r w:rsidR="006F2608" w:rsidRPr="00B76947">
        <w:rPr>
          <w:rStyle w:val="markedcontent"/>
          <w:rFonts w:ascii="Verdana" w:hAnsi="Verdana" w:cstheme="minorHAnsi"/>
          <w:sz w:val="20"/>
          <w:szCs w:val="20"/>
        </w:rPr>
        <w:t xml:space="preserve"> le operazioni di</w:t>
      </w:r>
      <w:r w:rsidR="00A1602F" w:rsidRPr="00B76947">
        <w:rPr>
          <w:rStyle w:val="markedcontent"/>
          <w:rFonts w:ascii="Verdana" w:hAnsi="Verdana" w:cstheme="minorHAnsi"/>
          <w:sz w:val="20"/>
          <w:szCs w:val="20"/>
        </w:rPr>
        <w:t xml:space="preserve"> acquisto dei crediti da parte di soggetti senza scrupoli.</w:t>
      </w:r>
    </w:p>
    <w:p w14:paraId="3F13B568" w14:textId="5FC25B07" w:rsidR="000F5E8B" w:rsidRPr="00B76947" w:rsidRDefault="000F5E8B" w:rsidP="006F2608">
      <w:pPr>
        <w:spacing w:after="120" w:line="240" w:lineRule="auto"/>
        <w:jc w:val="both"/>
        <w:rPr>
          <w:rStyle w:val="markedcontent"/>
          <w:rFonts w:ascii="Verdana" w:hAnsi="Verdana" w:cstheme="minorHAnsi"/>
          <w:sz w:val="20"/>
          <w:szCs w:val="20"/>
        </w:rPr>
      </w:pPr>
      <w:bookmarkStart w:id="0" w:name="_Hlk129858250"/>
      <w:r w:rsidRPr="00B76947">
        <w:rPr>
          <w:rStyle w:val="markedcontent"/>
          <w:rFonts w:ascii="Verdana" w:hAnsi="Verdana" w:cstheme="minorHAnsi"/>
          <w:sz w:val="20"/>
          <w:szCs w:val="20"/>
        </w:rPr>
        <w:lastRenderedPageBreak/>
        <w:t xml:space="preserve">Malgrado il cambio delle regole e la situazione di grande incertezza, anche nei primi due mesi del 2023, sono state presentate nuove pratiche di ammissione al Superbonus. </w:t>
      </w:r>
      <w:r w:rsidR="009366BD" w:rsidRPr="00B76947">
        <w:rPr>
          <w:rStyle w:val="markedcontent"/>
          <w:rFonts w:ascii="Verdana" w:hAnsi="Verdana" w:cstheme="minorHAnsi"/>
          <w:sz w:val="20"/>
          <w:szCs w:val="20"/>
        </w:rPr>
        <w:t>In particolare,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 xml:space="preserve"> a gennaio le asseverazioni sono state 385 per 66 milioni di euro e a febbraio 349 per 75 milioni di euro. </w:t>
      </w:r>
      <w:bookmarkEnd w:id="0"/>
      <w:r w:rsidRPr="00B76947">
        <w:rPr>
          <w:rStyle w:val="markedcontent"/>
          <w:rFonts w:ascii="Verdana" w:hAnsi="Verdana" w:cstheme="minorHAnsi"/>
          <w:sz w:val="20"/>
          <w:szCs w:val="20"/>
        </w:rPr>
        <w:t xml:space="preserve">In tutto, dall’entrata in vigore del Superbonus, le pratiche sono state 9.640 per 1.799,4 milioni di euro ammessi a detrazione. </w:t>
      </w:r>
      <w:r w:rsidR="00491947" w:rsidRPr="00B76947">
        <w:rPr>
          <w:rStyle w:val="markedcontent"/>
          <w:rFonts w:ascii="Verdana" w:hAnsi="Verdana" w:cstheme="minorHAnsi"/>
          <w:sz w:val="20"/>
          <w:szCs w:val="20"/>
        </w:rPr>
        <w:t xml:space="preserve">L’investimento medio è stato di 507 mila euro per i condomini, di 180 mila euro per gli edifici unifamiliari e di 90 mila euro per le unità immobiliari funzionalmente indipendenti. </w:t>
      </w:r>
    </w:p>
    <w:p w14:paraId="3AA23E97" w14:textId="58B4C874" w:rsidR="006F2608" w:rsidRPr="00B76947" w:rsidRDefault="00552DDF" w:rsidP="006F2608">
      <w:pPr>
        <w:spacing w:after="120" w:line="240" w:lineRule="auto"/>
        <w:jc w:val="both"/>
        <w:rPr>
          <w:rStyle w:val="markedcontent"/>
          <w:rFonts w:ascii="Verdana" w:hAnsi="Verdana" w:cstheme="minorHAnsi"/>
          <w:sz w:val="20"/>
          <w:szCs w:val="20"/>
        </w:rPr>
      </w:pPr>
      <w:r w:rsidRPr="00B76947">
        <w:rPr>
          <w:rStyle w:val="markedcontent"/>
          <w:rFonts w:ascii="Verdana" w:hAnsi="Verdana" w:cstheme="minorHAnsi"/>
          <w:sz w:val="20"/>
          <w:szCs w:val="20"/>
        </w:rPr>
        <w:t>I bonus, secondo le associazioni di categoria, da volano di crescita per la filiera delle costruzioni e per l’intera economia, rischiano</w:t>
      </w:r>
      <w:r w:rsidRPr="00B76947">
        <w:rPr>
          <w:rFonts w:ascii="Verdana" w:hAnsi="Verdana" w:cstheme="minorHAnsi"/>
          <w:sz w:val="20"/>
          <w:szCs w:val="20"/>
        </w:rPr>
        <w:t xml:space="preserve"> 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>di innescare una reazione a catena che potrebbe velocemente provocare una vera e propria</w:t>
      </w:r>
      <w:r w:rsidRPr="00B76947">
        <w:rPr>
          <w:rFonts w:ascii="Verdana" w:hAnsi="Verdana" w:cstheme="minorHAnsi"/>
          <w:sz w:val="20"/>
          <w:szCs w:val="20"/>
        </w:rPr>
        <w:t xml:space="preserve"> 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>crisi sociale di proporzioni rilevanti. Appare quindi indispensabile introdurre</w:t>
      </w:r>
      <w:r w:rsidR="00E75144" w:rsidRPr="00B76947">
        <w:rPr>
          <w:rStyle w:val="markedcontent"/>
          <w:rFonts w:ascii="Verdana" w:hAnsi="Verdana" w:cstheme="minorHAnsi"/>
          <w:sz w:val="20"/>
          <w:szCs w:val="20"/>
        </w:rPr>
        <w:t xml:space="preserve"> al più presto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 xml:space="preserve"> soluzioni </w:t>
      </w:r>
      <w:r w:rsidR="00E75144" w:rsidRPr="00B76947">
        <w:rPr>
          <w:rStyle w:val="markedcontent"/>
          <w:rFonts w:ascii="Verdana" w:hAnsi="Verdana" w:cstheme="minorHAnsi"/>
          <w:sz w:val="20"/>
          <w:szCs w:val="20"/>
        </w:rPr>
        <w:t xml:space="preserve">efficaci 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 xml:space="preserve">e di </w:t>
      </w:r>
      <w:r w:rsidR="00E75144" w:rsidRPr="00B76947">
        <w:rPr>
          <w:rStyle w:val="markedcontent"/>
          <w:rFonts w:ascii="Verdana" w:hAnsi="Verdana" w:cstheme="minorHAnsi"/>
          <w:sz w:val="20"/>
          <w:szCs w:val="20"/>
        </w:rPr>
        <w:t xml:space="preserve">rapida 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>attuazione per lo sblocco totale dei crediti pregressi</w:t>
      </w:r>
      <w:r w:rsidR="00E75144" w:rsidRPr="00B76947">
        <w:rPr>
          <w:rStyle w:val="markedcontent"/>
          <w:rFonts w:ascii="Verdana" w:hAnsi="Verdana" w:cstheme="minorHAnsi"/>
          <w:sz w:val="20"/>
          <w:szCs w:val="20"/>
        </w:rPr>
        <w:t xml:space="preserve">, nonché agire al fine di garantire </w:t>
      </w:r>
      <w:r w:rsidR="00E75144" w:rsidRPr="00B76947">
        <w:rPr>
          <w:rFonts w:ascii="Verdana" w:hAnsi="Verdana" w:cstheme="minorHAnsi"/>
          <w:sz w:val="20"/>
          <w:szCs w:val="20"/>
        </w:rPr>
        <w:t xml:space="preserve">la certezza del diritto che proprio riguardo al </w:t>
      </w:r>
      <w:r w:rsidR="00E75144" w:rsidRPr="00B76947">
        <w:rPr>
          <w:rFonts w:ascii="Verdana" w:hAnsi="Verdana" w:cstheme="minorHAnsi"/>
          <w:i/>
          <w:iCs/>
          <w:sz w:val="20"/>
          <w:szCs w:val="20"/>
        </w:rPr>
        <w:t>Superbonus</w:t>
      </w:r>
      <w:r w:rsidR="001D773F" w:rsidRPr="00B76947">
        <w:rPr>
          <w:rFonts w:ascii="Verdana" w:hAnsi="Verdana" w:cstheme="minorHAnsi"/>
          <w:sz w:val="20"/>
          <w:szCs w:val="20"/>
        </w:rPr>
        <w:t xml:space="preserve"> </w:t>
      </w:r>
      <w:r w:rsidR="00E75144" w:rsidRPr="00B76947">
        <w:rPr>
          <w:rFonts w:ascii="Verdana" w:hAnsi="Verdana" w:cstheme="minorHAnsi"/>
          <w:sz w:val="20"/>
          <w:szCs w:val="20"/>
        </w:rPr>
        <w:t xml:space="preserve">è stata troppe volte </w:t>
      </w:r>
      <w:r w:rsidR="006F2608" w:rsidRPr="00B76947">
        <w:rPr>
          <w:rFonts w:ascii="Verdana" w:hAnsi="Verdana" w:cstheme="minorHAnsi"/>
          <w:sz w:val="20"/>
          <w:szCs w:val="20"/>
        </w:rPr>
        <w:t>disattesa.</w:t>
      </w:r>
    </w:p>
    <w:p w14:paraId="24628EEE" w14:textId="4AF87E48" w:rsidR="000D1A26" w:rsidRPr="00B76947" w:rsidRDefault="00552DDF" w:rsidP="006F2608">
      <w:pPr>
        <w:spacing w:after="120" w:line="240" w:lineRule="auto"/>
        <w:jc w:val="both"/>
        <w:rPr>
          <w:rStyle w:val="markedcontent"/>
          <w:rFonts w:ascii="Verdana" w:hAnsi="Verdana" w:cstheme="minorHAnsi"/>
          <w:sz w:val="20"/>
          <w:szCs w:val="20"/>
        </w:rPr>
      </w:pPr>
      <w:r w:rsidRPr="00B76947">
        <w:rPr>
          <w:rStyle w:val="markedcontent"/>
          <w:rFonts w:ascii="Verdana" w:hAnsi="Verdana" w:cstheme="minorHAnsi"/>
          <w:sz w:val="20"/>
          <w:szCs w:val="20"/>
        </w:rPr>
        <w:t xml:space="preserve">Diverse le ipotesi avanzate alla </w:t>
      </w:r>
      <w:r w:rsidR="001D773F" w:rsidRPr="00B76947">
        <w:rPr>
          <w:rStyle w:val="markedcontent"/>
          <w:rFonts w:ascii="Verdana" w:hAnsi="Verdana" w:cstheme="minorHAnsi"/>
          <w:sz w:val="20"/>
          <w:szCs w:val="20"/>
        </w:rPr>
        <w:t>S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>ottosegretaria Albano</w:t>
      </w:r>
      <w:r w:rsidR="000D1A26" w:rsidRPr="00B76947">
        <w:rPr>
          <w:rStyle w:val="markedcontent"/>
          <w:rFonts w:ascii="Verdana" w:hAnsi="Verdana" w:cstheme="minorHAnsi"/>
          <w:sz w:val="20"/>
          <w:szCs w:val="20"/>
        </w:rPr>
        <w:t>: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 xml:space="preserve"> utilizzo degli F24 </w:t>
      </w:r>
      <w:r w:rsidR="000D1A26" w:rsidRPr="00B76947">
        <w:rPr>
          <w:rStyle w:val="markedcontent"/>
          <w:rFonts w:ascii="Verdana" w:hAnsi="Verdana" w:cstheme="minorHAnsi"/>
          <w:sz w:val="20"/>
          <w:szCs w:val="20"/>
        </w:rPr>
        <w:t>da parte di istituti di credito e Poste s.p.a.</w:t>
      </w:r>
      <w:r w:rsidR="00E75144" w:rsidRPr="00B76947">
        <w:rPr>
          <w:rStyle w:val="markedcontent"/>
          <w:rFonts w:ascii="Verdana" w:hAnsi="Verdana" w:cstheme="minorHAnsi"/>
          <w:sz w:val="20"/>
          <w:szCs w:val="20"/>
        </w:rPr>
        <w:t xml:space="preserve"> </w:t>
      </w:r>
      <w:r w:rsidR="00CA02A4" w:rsidRPr="00B76947">
        <w:rPr>
          <w:rStyle w:val="markedcontent"/>
          <w:rFonts w:ascii="Verdana" w:hAnsi="Verdana" w:cstheme="minorHAnsi"/>
          <w:sz w:val="20"/>
          <w:szCs w:val="20"/>
        </w:rPr>
        <w:t xml:space="preserve">a </w:t>
      </w:r>
      <w:r w:rsidR="00E75144" w:rsidRPr="00B76947">
        <w:rPr>
          <w:rStyle w:val="markedcontent"/>
          <w:rFonts w:ascii="Verdana" w:hAnsi="Verdana" w:cstheme="minorHAnsi"/>
          <w:sz w:val="20"/>
          <w:szCs w:val="20"/>
        </w:rPr>
        <w:t>compensazione dei crediti maturati e</w:t>
      </w:r>
      <w:r w:rsidR="000D1A26" w:rsidRPr="00B76947">
        <w:rPr>
          <w:rStyle w:val="markedcontent"/>
          <w:rFonts w:ascii="Verdana" w:hAnsi="Verdana" w:cstheme="minorHAnsi"/>
          <w:sz w:val="20"/>
          <w:szCs w:val="20"/>
        </w:rPr>
        <w:t xml:space="preserve"> 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 xml:space="preserve">il coinvolgimento </w:t>
      </w:r>
      <w:r w:rsidR="000D1A26" w:rsidRPr="00B76947">
        <w:rPr>
          <w:rStyle w:val="markedcontent"/>
          <w:rFonts w:ascii="Verdana" w:hAnsi="Verdana" w:cstheme="minorHAnsi"/>
          <w:sz w:val="20"/>
          <w:szCs w:val="20"/>
        </w:rPr>
        <w:t>d</w:t>
      </w:r>
      <w:r w:rsidR="00E823E2" w:rsidRPr="00B76947">
        <w:rPr>
          <w:rStyle w:val="markedcontent"/>
          <w:rFonts w:ascii="Verdana" w:hAnsi="Verdana" w:cstheme="minorHAnsi"/>
          <w:sz w:val="20"/>
          <w:szCs w:val="20"/>
        </w:rPr>
        <w:t>i</w:t>
      </w:r>
      <w:r w:rsidR="000D1A26" w:rsidRPr="00B76947">
        <w:rPr>
          <w:rStyle w:val="markedcontent"/>
          <w:rFonts w:ascii="Verdana" w:hAnsi="Verdana" w:cstheme="minorHAnsi"/>
          <w:sz w:val="20"/>
          <w:szCs w:val="20"/>
        </w:rPr>
        <w:t xml:space="preserve"> partecipate pubbliche come 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>CDP, RFI, Enel, Eni, Fincantieri</w:t>
      </w:r>
      <w:r w:rsidR="00E75144" w:rsidRPr="00B76947">
        <w:rPr>
          <w:rStyle w:val="markedcontent"/>
          <w:rFonts w:ascii="Verdana" w:hAnsi="Verdana" w:cstheme="minorHAnsi"/>
          <w:sz w:val="20"/>
          <w:szCs w:val="20"/>
        </w:rPr>
        <w:t>.</w:t>
      </w:r>
    </w:p>
    <w:p w14:paraId="7BA0BD1C" w14:textId="3C02A11D" w:rsidR="00986F6A" w:rsidRPr="00B76947" w:rsidRDefault="00E75144" w:rsidP="006F2608">
      <w:pPr>
        <w:spacing w:after="120" w:line="240" w:lineRule="auto"/>
        <w:jc w:val="both"/>
        <w:rPr>
          <w:rStyle w:val="markedcontent"/>
          <w:rFonts w:ascii="Verdana" w:hAnsi="Verdana" w:cstheme="minorHAnsi"/>
          <w:sz w:val="20"/>
          <w:szCs w:val="20"/>
        </w:rPr>
      </w:pPr>
      <w:r w:rsidRPr="00B76947">
        <w:rPr>
          <w:rStyle w:val="markedcontent"/>
          <w:rFonts w:ascii="Verdana" w:hAnsi="Verdana" w:cstheme="minorHAnsi"/>
          <w:sz w:val="20"/>
          <w:szCs w:val="20"/>
        </w:rPr>
        <w:t xml:space="preserve">Il confronto ha riguardato anche le </w:t>
      </w:r>
      <w:r w:rsidR="00986F6A" w:rsidRPr="00B76947">
        <w:rPr>
          <w:rStyle w:val="markedcontent"/>
          <w:rFonts w:ascii="Verdana" w:hAnsi="Verdana" w:cstheme="minorHAnsi"/>
          <w:sz w:val="20"/>
          <w:szCs w:val="20"/>
        </w:rPr>
        <w:t xml:space="preserve">problematiche di grandissimo impatto ingenerate dal </w:t>
      </w:r>
      <w:bookmarkStart w:id="1" w:name="_GoBack"/>
      <w:bookmarkEnd w:id="1"/>
      <w:r w:rsidR="00CA02A4" w:rsidRPr="00B76947">
        <w:rPr>
          <w:rStyle w:val="markedcontent"/>
          <w:rFonts w:ascii="Verdana" w:hAnsi="Verdana" w:cstheme="minorHAnsi"/>
          <w:sz w:val="20"/>
          <w:szCs w:val="20"/>
        </w:rPr>
        <w:t>DL</w:t>
      </w:r>
      <w:r w:rsidR="00986F6A" w:rsidRPr="00B76947">
        <w:rPr>
          <w:rStyle w:val="markedcontent"/>
          <w:rFonts w:ascii="Verdana" w:hAnsi="Verdana" w:cstheme="minorHAnsi"/>
          <w:sz w:val="20"/>
          <w:szCs w:val="20"/>
        </w:rPr>
        <w:t>11/2023 sul “</w:t>
      </w:r>
      <w:r w:rsidR="00986F6A" w:rsidRPr="00B76947">
        <w:rPr>
          <w:rStyle w:val="markedcontent"/>
          <w:rFonts w:ascii="Verdana" w:hAnsi="Verdana" w:cstheme="minorHAnsi"/>
          <w:i/>
          <w:iCs/>
          <w:sz w:val="20"/>
          <w:szCs w:val="20"/>
        </w:rPr>
        <w:t>Cratere Centro Italia</w:t>
      </w:r>
      <w:r w:rsidR="00986F6A" w:rsidRPr="00B76947">
        <w:rPr>
          <w:rStyle w:val="markedcontent"/>
          <w:rFonts w:ascii="Verdana" w:hAnsi="Verdana" w:cstheme="minorHAnsi"/>
          <w:sz w:val="20"/>
          <w:szCs w:val="20"/>
        </w:rPr>
        <w:t xml:space="preserve">” e </w:t>
      </w:r>
      <w:r w:rsidR="00CA02A4" w:rsidRPr="00B76947">
        <w:rPr>
          <w:rStyle w:val="markedcontent"/>
          <w:rFonts w:ascii="Verdana" w:hAnsi="Verdana" w:cstheme="minorHAnsi"/>
          <w:sz w:val="20"/>
          <w:szCs w:val="20"/>
        </w:rPr>
        <w:t>sul</w:t>
      </w:r>
      <w:r w:rsidR="00E823E2" w:rsidRPr="00B76947">
        <w:rPr>
          <w:rStyle w:val="markedcontent"/>
          <w:rFonts w:ascii="Verdana" w:hAnsi="Verdana" w:cstheme="minorHAnsi"/>
          <w:sz w:val="20"/>
          <w:szCs w:val="20"/>
        </w:rPr>
        <w:t xml:space="preserve">le </w:t>
      </w:r>
      <w:r w:rsidR="00986F6A" w:rsidRPr="00B76947">
        <w:rPr>
          <w:rStyle w:val="markedcontent"/>
          <w:rFonts w:ascii="Verdana" w:hAnsi="Verdana" w:cstheme="minorHAnsi"/>
          <w:sz w:val="20"/>
          <w:szCs w:val="20"/>
        </w:rPr>
        <w:t>centinaia di immobili colpiti dallo sciame sismico dello scorso novembre nelle provincie di Ancona e Pesaro-Urbino, ancora in attesa di responso riguardo alla dichiarazione dello stato di emergenza.</w:t>
      </w:r>
    </w:p>
    <w:p w14:paraId="223CBC5A" w14:textId="44D35C56" w:rsidR="00552DDF" w:rsidRPr="00B76947" w:rsidRDefault="00960C83" w:rsidP="00C976E8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B76947">
        <w:rPr>
          <w:rStyle w:val="markedcontent"/>
          <w:rFonts w:ascii="Verdana" w:hAnsi="Verdana" w:cstheme="minorHAnsi"/>
          <w:sz w:val="20"/>
          <w:szCs w:val="20"/>
        </w:rPr>
        <w:t xml:space="preserve">Il </w:t>
      </w:r>
      <w:r w:rsidR="00E75144" w:rsidRPr="00B76947">
        <w:rPr>
          <w:rStyle w:val="markedcontent"/>
          <w:rFonts w:ascii="Verdana" w:hAnsi="Verdana" w:cstheme="minorHAnsi"/>
          <w:sz w:val="20"/>
          <w:szCs w:val="20"/>
        </w:rPr>
        <w:t xml:space="preserve">dialogo 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 xml:space="preserve">tra </w:t>
      </w:r>
      <w:r w:rsidR="00CA02A4" w:rsidRPr="00B76947">
        <w:rPr>
          <w:rStyle w:val="markedcontent"/>
          <w:rFonts w:ascii="Verdana" w:hAnsi="Verdana" w:cstheme="minorHAnsi"/>
          <w:sz w:val="20"/>
          <w:szCs w:val="20"/>
        </w:rPr>
        <w:t>A</w:t>
      </w:r>
      <w:r w:rsidRPr="00B76947">
        <w:rPr>
          <w:rStyle w:val="markedcontent"/>
          <w:rFonts w:ascii="Verdana" w:hAnsi="Verdana" w:cstheme="minorHAnsi"/>
          <w:sz w:val="20"/>
          <w:szCs w:val="20"/>
        </w:rPr>
        <w:t>ssociazioni, Regione e Governo proseguirà nelle prossime settimane. In mancanza di risposte finalizzate allo sblocco dei crediti, non sono escluse iniziative di forte mobilitazione delle categorie e dei cittadini coinvolti.</w:t>
      </w:r>
    </w:p>
    <w:p w14:paraId="0F12840B" w14:textId="77777777" w:rsidR="00252E33" w:rsidRPr="00B76947" w:rsidRDefault="00252E33" w:rsidP="0024594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4604813" w14:textId="77777777" w:rsidR="00DA55A3" w:rsidRPr="00B76947" w:rsidRDefault="00DA55A3" w:rsidP="003307C3">
      <w:pPr>
        <w:jc w:val="both"/>
        <w:rPr>
          <w:rFonts w:ascii="Verdana" w:hAnsi="Verdana" w:cs="Times New Roman"/>
          <w:sz w:val="20"/>
          <w:szCs w:val="20"/>
        </w:rPr>
      </w:pPr>
    </w:p>
    <w:sectPr w:rsidR="00DA55A3" w:rsidRPr="00B7694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C138A" w14:textId="77777777" w:rsidR="00D62314" w:rsidRDefault="00D62314" w:rsidP="00E823E2">
      <w:pPr>
        <w:spacing w:after="0" w:line="240" w:lineRule="auto"/>
      </w:pPr>
      <w:r>
        <w:separator/>
      </w:r>
    </w:p>
  </w:endnote>
  <w:endnote w:type="continuationSeparator" w:id="0">
    <w:p w14:paraId="7D328A29" w14:textId="77777777" w:rsidR="00D62314" w:rsidRDefault="00D62314" w:rsidP="00E8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09BB7" w14:textId="77777777" w:rsidR="00D62314" w:rsidRDefault="00D62314" w:rsidP="00E823E2">
      <w:pPr>
        <w:spacing w:after="0" w:line="240" w:lineRule="auto"/>
      </w:pPr>
      <w:r>
        <w:separator/>
      </w:r>
    </w:p>
  </w:footnote>
  <w:footnote w:type="continuationSeparator" w:id="0">
    <w:p w14:paraId="13FDB2D3" w14:textId="77777777" w:rsidR="00D62314" w:rsidRDefault="00D62314" w:rsidP="00E8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2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2"/>
      <w:gridCol w:w="1217"/>
      <w:gridCol w:w="2410"/>
      <w:gridCol w:w="2126"/>
      <w:gridCol w:w="2552"/>
      <w:gridCol w:w="9"/>
    </w:tblGrid>
    <w:tr w:rsidR="00E823E2" w14:paraId="27F1D2CE" w14:textId="77777777" w:rsidTr="00E823E2">
      <w:trPr>
        <w:gridAfter w:val="1"/>
        <w:wAfter w:w="9" w:type="dxa"/>
        <w:trHeight w:val="964"/>
      </w:trPr>
      <w:tc>
        <w:tcPr>
          <w:tcW w:w="1902" w:type="dxa"/>
          <w:vAlign w:val="center"/>
        </w:tcPr>
        <w:p w14:paraId="1B9827EE" w14:textId="77777777" w:rsidR="00E823E2" w:rsidRDefault="00E823E2" w:rsidP="00E823E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3046272" wp14:editId="6A41808F">
                <wp:extent cx="1046959" cy="396000"/>
                <wp:effectExtent l="0" t="0" r="1270" b="4445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3" r="8000" b="8750"/>
                        <a:stretch/>
                      </pic:blipFill>
                      <pic:spPr bwMode="auto">
                        <a:xfrm>
                          <a:off x="0" y="0"/>
                          <a:ext cx="1046959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7" w:type="dxa"/>
          <w:vAlign w:val="center"/>
        </w:tcPr>
        <w:p w14:paraId="374095C0" w14:textId="77777777" w:rsidR="00E823E2" w:rsidRDefault="00E823E2" w:rsidP="00E823E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DEDE349" wp14:editId="5A355297">
                <wp:extent cx="404006" cy="504000"/>
                <wp:effectExtent l="0" t="0" r="0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006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43BDC63F" w14:textId="77777777" w:rsidR="00E823E2" w:rsidRDefault="00E823E2" w:rsidP="00E823E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AAE5A6C" wp14:editId="1DCFCCD5">
                <wp:extent cx="1360117" cy="288000"/>
                <wp:effectExtent l="0" t="0" r="0" b="0"/>
                <wp:docPr id="41" name="Immagine 4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Immagine 4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17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626B38CD" w14:textId="77777777" w:rsidR="00E823E2" w:rsidRDefault="00E823E2" w:rsidP="00E823E2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7F1DAEC" wp14:editId="24687DE2">
                <wp:extent cx="937931" cy="324000"/>
                <wp:effectExtent l="0" t="0" r="0" b="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931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Align w:val="center"/>
        </w:tcPr>
        <w:p w14:paraId="466EE91D" w14:textId="77777777" w:rsidR="00E823E2" w:rsidRDefault="00E823E2" w:rsidP="00E823E2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7B1FB07" wp14:editId="61F810A9">
                <wp:extent cx="850500" cy="324000"/>
                <wp:effectExtent l="0" t="0" r="6985" b="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3" t="28866" r="8263" b="28248"/>
                        <a:stretch/>
                      </pic:blipFill>
                      <pic:spPr bwMode="auto">
                        <a:xfrm>
                          <a:off x="0" y="0"/>
                          <a:ext cx="8505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823E2" w14:paraId="78BF03DE" w14:textId="77777777" w:rsidTr="00E823E2">
      <w:trPr>
        <w:trHeight w:val="907"/>
      </w:trPr>
      <w:tc>
        <w:tcPr>
          <w:tcW w:w="1902" w:type="dxa"/>
          <w:vAlign w:val="center"/>
        </w:tcPr>
        <w:p w14:paraId="0330F771" w14:textId="77777777" w:rsidR="00E823E2" w:rsidRDefault="00E823E2" w:rsidP="00E823E2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4A40A6D" wp14:editId="2430A1B6">
                <wp:extent cx="703107" cy="468000"/>
                <wp:effectExtent l="0" t="0" r="1905" b="8255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107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7" w:type="dxa"/>
          <w:gridSpan w:val="2"/>
          <w:vAlign w:val="center"/>
        </w:tcPr>
        <w:p w14:paraId="08914BEC" w14:textId="77777777" w:rsidR="00E823E2" w:rsidRDefault="00E823E2" w:rsidP="00E823E2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8B879BD" wp14:editId="58233175">
                <wp:extent cx="1176353" cy="504000"/>
                <wp:effectExtent l="0" t="0" r="5080" b="0"/>
                <wp:docPr id="8" name="Immagine 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Immagine che contiene testo&#10;&#10;Descrizione generata automaticamente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35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491A541C" w14:textId="77777777" w:rsidR="00E823E2" w:rsidRDefault="00E823E2" w:rsidP="00E823E2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92D41A0" wp14:editId="383B7516">
                <wp:extent cx="795098" cy="288000"/>
                <wp:effectExtent l="0" t="0" r="5080" b="0"/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98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gridSpan w:val="2"/>
          <w:vAlign w:val="center"/>
        </w:tcPr>
        <w:p w14:paraId="12198990" w14:textId="77777777" w:rsidR="00E823E2" w:rsidRDefault="00E823E2" w:rsidP="00E823E2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C079E4A" wp14:editId="2B5059CC">
                <wp:extent cx="1487805" cy="506095"/>
                <wp:effectExtent l="0" t="0" r="0" b="8255"/>
                <wp:docPr id="48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082614B" w14:textId="77777777" w:rsidR="00E823E2" w:rsidRDefault="00E823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7"/>
    <w:rsid w:val="00095620"/>
    <w:rsid w:val="000D1A26"/>
    <w:rsid w:val="000E39E5"/>
    <w:rsid w:val="000F5E8B"/>
    <w:rsid w:val="001D773F"/>
    <w:rsid w:val="00245942"/>
    <w:rsid w:val="00252E33"/>
    <w:rsid w:val="003307C3"/>
    <w:rsid w:val="003C4E00"/>
    <w:rsid w:val="00491947"/>
    <w:rsid w:val="005340A6"/>
    <w:rsid w:val="00552DDF"/>
    <w:rsid w:val="005A4009"/>
    <w:rsid w:val="006C2CE2"/>
    <w:rsid w:val="006D1CC3"/>
    <w:rsid w:val="006F2608"/>
    <w:rsid w:val="006F3D08"/>
    <w:rsid w:val="00704FFE"/>
    <w:rsid w:val="0075357C"/>
    <w:rsid w:val="008A7E95"/>
    <w:rsid w:val="008C0A2D"/>
    <w:rsid w:val="009366BD"/>
    <w:rsid w:val="00960C83"/>
    <w:rsid w:val="00986F6A"/>
    <w:rsid w:val="0099375D"/>
    <w:rsid w:val="00A1602F"/>
    <w:rsid w:val="00AB07F2"/>
    <w:rsid w:val="00B76947"/>
    <w:rsid w:val="00BD51A6"/>
    <w:rsid w:val="00BE3480"/>
    <w:rsid w:val="00C976E8"/>
    <w:rsid w:val="00CA02A4"/>
    <w:rsid w:val="00D15A77"/>
    <w:rsid w:val="00D62314"/>
    <w:rsid w:val="00DA55A3"/>
    <w:rsid w:val="00E02647"/>
    <w:rsid w:val="00E75144"/>
    <w:rsid w:val="00E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AAEB"/>
  <w15:chartTrackingRefBased/>
  <w15:docId w15:val="{8555BF1B-587B-49F6-AC77-CD853EAE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3307C3"/>
  </w:style>
  <w:style w:type="paragraph" w:styleId="Intestazione">
    <w:name w:val="header"/>
    <w:basedOn w:val="Normale"/>
    <w:link w:val="IntestazioneCarattere"/>
    <w:unhideWhenUsed/>
    <w:rsid w:val="00E82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3E2"/>
  </w:style>
  <w:style w:type="paragraph" w:styleId="Pidipagina">
    <w:name w:val="footer"/>
    <w:basedOn w:val="Normale"/>
    <w:link w:val="PidipaginaCarattere"/>
    <w:uiPriority w:val="99"/>
    <w:unhideWhenUsed/>
    <w:rsid w:val="00E82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3E2"/>
  </w:style>
  <w:style w:type="table" w:styleId="Grigliatabella">
    <w:name w:val="Table Grid"/>
    <w:basedOn w:val="Tabellanormale"/>
    <w:uiPriority w:val="59"/>
    <w:rsid w:val="00E823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 Marche</dc:creator>
  <cp:keywords/>
  <dc:description/>
  <cp:lastModifiedBy>Marina Pancioni</cp:lastModifiedBy>
  <cp:revision>11</cp:revision>
  <cp:lastPrinted>2023-03-20T10:44:00Z</cp:lastPrinted>
  <dcterms:created xsi:type="dcterms:W3CDTF">2023-03-17T11:12:00Z</dcterms:created>
  <dcterms:modified xsi:type="dcterms:W3CDTF">2023-03-20T10:47:00Z</dcterms:modified>
</cp:coreProperties>
</file>