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7B" w:rsidRDefault="00D12EC7" w:rsidP="001161CC">
      <w:pPr>
        <w:spacing w:after="120"/>
        <w:jc w:val="right"/>
        <w:rPr>
          <w:rFonts w:ascii="Arial Narrow" w:hAnsi="Arial Narrow"/>
          <w:sz w:val="26"/>
          <w:szCs w:val="26"/>
        </w:rPr>
      </w:pPr>
      <w:bookmarkStart w:id="0" w:name="_Toc311457541"/>
      <w:r>
        <w:rPr>
          <w:noProof/>
          <w:lang w:val="fr-BE" w:eastAsia="fr-BE"/>
        </w:rPr>
        <w:drawing>
          <wp:inline distT="0" distB="0" distL="0" distR="0">
            <wp:extent cx="3228975" cy="93802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1CC">
        <w:rPr>
          <w:rFonts w:ascii="Arial Narrow" w:hAnsi="Arial Narrow"/>
          <w:sz w:val="26"/>
          <w:szCs w:val="26"/>
        </w:rPr>
        <w:tab/>
      </w:r>
      <w:r w:rsidR="001161CC">
        <w:rPr>
          <w:rFonts w:ascii="Arial Narrow" w:hAnsi="Arial Narrow"/>
          <w:sz w:val="26"/>
          <w:szCs w:val="26"/>
        </w:rPr>
        <w:tab/>
      </w:r>
      <w:r w:rsidR="001161CC">
        <w:rPr>
          <w:rFonts w:ascii="Arial Narrow" w:hAnsi="Arial Narrow"/>
          <w:sz w:val="26"/>
          <w:szCs w:val="26"/>
        </w:rPr>
        <w:tab/>
      </w:r>
      <w:r w:rsidR="001161CC">
        <w:rPr>
          <w:rFonts w:ascii="Arial Narrow" w:hAnsi="Arial Narrow"/>
          <w:sz w:val="26"/>
          <w:szCs w:val="26"/>
        </w:rPr>
        <w:tab/>
      </w:r>
      <w:r w:rsidR="004A204B">
        <w:rPr>
          <w:rFonts w:ascii="Arial Narrow" w:hAnsi="Arial Narrow"/>
          <w:sz w:val="26"/>
          <w:szCs w:val="26"/>
        </w:rPr>
        <w:tab/>
      </w:r>
      <w:r w:rsidR="004A204B">
        <w:rPr>
          <w:rFonts w:ascii="Arial Narrow" w:hAnsi="Arial Narrow"/>
          <w:sz w:val="26"/>
          <w:szCs w:val="26"/>
        </w:rPr>
        <w:tab/>
      </w:r>
    </w:p>
    <w:p w:rsidR="00D12EC7" w:rsidRPr="00FF7A7B" w:rsidRDefault="00FF7A7B" w:rsidP="00FF7A7B">
      <w:pPr>
        <w:spacing w:after="120"/>
        <w:ind w:left="708" w:firstLine="708"/>
        <w:rPr>
          <w:rFonts w:ascii="Arial Narrow" w:hAnsi="Arial Narrow"/>
          <w:i/>
          <w:sz w:val="22"/>
          <w:szCs w:val="22"/>
        </w:rPr>
      </w:pPr>
      <w:r w:rsidRPr="00FF7A7B">
        <w:rPr>
          <w:rFonts w:ascii="Arial Narrow" w:hAnsi="Arial Narrow"/>
          <w:i/>
          <w:sz w:val="22"/>
          <w:szCs w:val="22"/>
        </w:rPr>
        <w:t xml:space="preserve">      </w:t>
      </w:r>
      <w:r w:rsidR="00732FB5" w:rsidRPr="00FF7A7B">
        <w:rPr>
          <w:rFonts w:ascii="Arial Narrow" w:hAnsi="Arial Narrow"/>
          <w:i/>
          <w:sz w:val="22"/>
          <w:szCs w:val="22"/>
        </w:rPr>
        <w:t>Ufficio Rapporti con l’Unione europea</w:t>
      </w:r>
    </w:p>
    <w:bookmarkEnd w:id="0"/>
    <w:p w:rsidR="002D0727" w:rsidRDefault="002D0727" w:rsidP="00D12EC7">
      <w:pPr>
        <w:spacing w:before="360" w:after="120" w:line="36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:rsidR="00D12EC7" w:rsidRDefault="006C245D" w:rsidP="00D12EC7">
      <w:pPr>
        <w:spacing w:before="360" w:after="120" w:line="36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PROGRAMMA </w:t>
      </w:r>
      <w:proofErr w:type="spellStart"/>
      <w:r>
        <w:rPr>
          <w:rFonts w:ascii="Arial" w:hAnsi="Arial" w:cs="Arial"/>
          <w:b/>
          <w:caps/>
          <w:sz w:val="28"/>
          <w:szCs w:val="28"/>
        </w:rPr>
        <w:t>DI</w:t>
      </w:r>
      <w:proofErr w:type="spellEnd"/>
      <w:r>
        <w:rPr>
          <w:rFonts w:ascii="Arial" w:hAnsi="Arial" w:cs="Arial"/>
          <w:b/>
          <w:caps/>
          <w:sz w:val="28"/>
          <w:szCs w:val="28"/>
        </w:rPr>
        <w:t xml:space="preserve"> LAVORO DELLA COMMISSIONE PER IL 2016</w:t>
      </w:r>
    </w:p>
    <w:p w:rsidR="00B41E81" w:rsidRDefault="00B41E81" w:rsidP="004A204B">
      <w:pPr>
        <w:pStyle w:val="Stiletestocorrente"/>
        <w:spacing w:before="120" w:after="120" w:line="240" w:lineRule="auto"/>
        <w:ind w:left="0"/>
        <w:contextualSpacing w:val="0"/>
        <w:jc w:val="center"/>
        <w:rPr>
          <w:rFonts w:cs="Arial"/>
          <w:b/>
          <w:sz w:val="24"/>
          <w:u w:val="single"/>
        </w:rPr>
      </w:pPr>
    </w:p>
    <w:p w:rsidR="006C245D" w:rsidRPr="000D22E1" w:rsidRDefault="006C245D" w:rsidP="000D22E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0D22E1">
        <w:rPr>
          <w:rFonts w:ascii="Arial" w:hAnsi="Arial" w:cs="Arial"/>
          <w:sz w:val="24"/>
          <w:szCs w:val="24"/>
          <w:lang w:eastAsia="en-US"/>
        </w:rPr>
        <w:t>Il programma di lavoro della Commissione consiste in una comunicazione politica e sei allegati:</w:t>
      </w:r>
    </w:p>
    <w:p w:rsidR="006C245D" w:rsidRPr="000D22E1" w:rsidRDefault="006C245D" w:rsidP="000D22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D22E1">
        <w:rPr>
          <w:rFonts w:ascii="Arial" w:hAnsi="Arial" w:cs="Arial"/>
          <w:sz w:val="24"/>
          <w:szCs w:val="24"/>
          <w:lang w:eastAsia="en-US"/>
        </w:rPr>
        <w:t>nell'</w:t>
      </w:r>
      <w:proofErr w:type="gramEnd"/>
      <w:r w:rsidRPr="000D22E1">
        <w:rPr>
          <w:rFonts w:ascii="Arial" w:hAnsi="Arial" w:cs="Arial"/>
          <w:sz w:val="24"/>
          <w:szCs w:val="24"/>
          <w:lang w:eastAsia="en-US"/>
        </w:rPr>
        <w:t xml:space="preserve">allegato I figurano le </w:t>
      </w:r>
      <w:r w:rsidRPr="000D22E1">
        <w:rPr>
          <w:rFonts w:ascii="Arial" w:hAnsi="Arial" w:cs="Arial"/>
          <w:b/>
          <w:sz w:val="24"/>
          <w:szCs w:val="24"/>
          <w:lang w:eastAsia="en-US"/>
        </w:rPr>
        <w:t>iniziative fondamentali</w:t>
      </w:r>
      <w:r w:rsidRPr="000D22E1">
        <w:rPr>
          <w:rFonts w:ascii="Arial" w:hAnsi="Arial" w:cs="Arial"/>
          <w:sz w:val="24"/>
          <w:szCs w:val="24"/>
          <w:lang w:eastAsia="en-US"/>
        </w:rPr>
        <w:t xml:space="preserve"> che sono incentrate su azioni concrete volte a realizzare le dieci priorità delineate negli orientamenti politici della Commissione </w:t>
      </w:r>
      <w:proofErr w:type="spellStart"/>
      <w:r w:rsidRPr="000D22E1">
        <w:rPr>
          <w:rFonts w:ascii="Arial" w:hAnsi="Arial" w:cs="Arial"/>
          <w:sz w:val="24"/>
          <w:szCs w:val="24"/>
          <w:lang w:eastAsia="en-US"/>
        </w:rPr>
        <w:t>Juncker</w:t>
      </w:r>
      <w:proofErr w:type="spellEnd"/>
      <w:r w:rsidRPr="000D22E1">
        <w:rPr>
          <w:rFonts w:ascii="Arial" w:hAnsi="Arial" w:cs="Arial"/>
          <w:sz w:val="24"/>
          <w:szCs w:val="24"/>
          <w:lang w:eastAsia="en-US"/>
        </w:rPr>
        <w:t>;</w:t>
      </w:r>
    </w:p>
    <w:p w:rsidR="006C245D" w:rsidRPr="000D22E1" w:rsidRDefault="006C245D" w:rsidP="000D22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D22E1">
        <w:rPr>
          <w:rFonts w:ascii="Arial" w:hAnsi="Arial" w:cs="Arial"/>
          <w:sz w:val="24"/>
          <w:szCs w:val="24"/>
          <w:lang w:eastAsia="en-US"/>
        </w:rPr>
        <w:t>nell'</w:t>
      </w:r>
      <w:proofErr w:type="gramEnd"/>
      <w:r w:rsidRPr="000D22E1">
        <w:rPr>
          <w:rFonts w:ascii="Arial" w:hAnsi="Arial" w:cs="Arial"/>
          <w:sz w:val="24"/>
          <w:szCs w:val="24"/>
          <w:lang w:eastAsia="en-US"/>
        </w:rPr>
        <w:t xml:space="preserve">allegato II figurano le </w:t>
      </w:r>
      <w:r w:rsidRPr="000D22E1">
        <w:rPr>
          <w:rFonts w:ascii="Arial" w:hAnsi="Arial" w:cs="Arial"/>
          <w:b/>
          <w:sz w:val="24"/>
          <w:szCs w:val="24"/>
          <w:lang w:eastAsia="en-US"/>
        </w:rPr>
        <w:t>nuove iniziative REFIT</w:t>
      </w:r>
      <w:r w:rsidRPr="000D22E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D22E1" w:rsidRPr="000D22E1">
        <w:rPr>
          <w:rFonts w:ascii="Arial" w:hAnsi="Arial" w:cs="Arial"/>
          <w:sz w:val="24"/>
          <w:szCs w:val="24"/>
          <w:lang w:eastAsia="en-US"/>
        </w:rPr>
        <w:t>(REFIT è il programma della Commissione europea per controllare l'adeguatezza e l'efficacia della regolamentazione in essere)</w:t>
      </w:r>
      <w:r w:rsidRPr="000D22E1">
        <w:rPr>
          <w:rFonts w:ascii="Arial" w:hAnsi="Arial" w:cs="Arial"/>
          <w:sz w:val="24"/>
          <w:szCs w:val="24"/>
          <w:lang w:eastAsia="en-US"/>
        </w:rPr>
        <w:t>;</w:t>
      </w:r>
    </w:p>
    <w:p w:rsidR="006C245D" w:rsidRPr="000D22E1" w:rsidRDefault="006C245D" w:rsidP="000D22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D22E1">
        <w:rPr>
          <w:rFonts w:ascii="Arial" w:hAnsi="Arial" w:cs="Arial"/>
          <w:sz w:val="24"/>
          <w:szCs w:val="24"/>
          <w:lang w:eastAsia="en-US"/>
        </w:rPr>
        <w:t>l'</w:t>
      </w:r>
      <w:proofErr w:type="gramEnd"/>
      <w:r w:rsidRPr="000D22E1">
        <w:rPr>
          <w:rFonts w:ascii="Arial" w:hAnsi="Arial" w:cs="Arial"/>
          <w:sz w:val="24"/>
          <w:szCs w:val="24"/>
          <w:lang w:eastAsia="en-US"/>
        </w:rPr>
        <w:t xml:space="preserve">allegato III elenca i </w:t>
      </w:r>
      <w:r w:rsidRPr="000D22E1">
        <w:rPr>
          <w:rFonts w:ascii="Arial" w:hAnsi="Arial" w:cs="Arial"/>
          <w:b/>
          <w:sz w:val="24"/>
          <w:szCs w:val="24"/>
          <w:lang w:eastAsia="en-US"/>
        </w:rPr>
        <w:t>dossier legislativi prioritari</w:t>
      </w:r>
      <w:r w:rsidRPr="000D22E1">
        <w:rPr>
          <w:rFonts w:ascii="Arial" w:hAnsi="Arial" w:cs="Arial"/>
          <w:sz w:val="24"/>
          <w:szCs w:val="24"/>
          <w:lang w:eastAsia="en-US"/>
        </w:rPr>
        <w:t xml:space="preserve"> per i</w:t>
      </w:r>
      <w:r w:rsidR="00AA3934" w:rsidRPr="000D22E1">
        <w:rPr>
          <w:rFonts w:ascii="Arial" w:hAnsi="Arial" w:cs="Arial"/>
          <w:sz w:val="24"/>
          <w:szCs w:val="24"/>
          <w:lang w:eastAsia="en-US"/>
        </w:rPr>
        <w:t xml:space="preserve"> quali la Commissione chiede a</w:t>
      </w:r>
      <w:r w:rsidR="000D22E1">
        <w:rPr>
          <w:rFonts w:ascii="Arial" w:hAnsi="Arial" w:cs="Arial"/>
          <w:sz w:val="24"/>
          <w:szCs w:val="24"/>
          <w:lang w:eastAsia="en-US"/>
        </w:rPr>
        <w:t>l</w:t>
      </w:r>
      <w:r w:rsidR="00AA3934" w:rsidRPr="000D22E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D22E1">
        <w:rPr>
          <w:rFonts w:ascii="Arial" w:hAnsi="Arial" w:cs="Arial"/>
          <w:sz w:val="24"/>
          <w:szCs w:val="24"/>
          <w:lang w:eastAsia="en-US"/>
        </w:rPr>
        <w:t>Parlamento europeo e</w:t>
      </w:r>
      <w:r w:rsidR="000D22E1">
        <w:rPr>
          <w:rFonts w:ascii="Arial" w:hAnsi="Arial" w:cs="Arial"/>
          <w:sz w:val="24"/>
          <w:szCs w:val="24"/>
          <w:lang w:eastAsia="en-US"/>
        </w:rPr>
        <w:t xml:space="preserve"> al</w:t>
      </w:r>
      <w:r w:rsidRPr="000D22E1">
        <w:rPr>
          <w:rFonts w:ascii="Arial" w:hAnsi="Arial" w:cs="Arial"/>
          <w:sz w:val="24"/>
          <w:szCs w:val="24"/>
          <w:lang w:eastAsia="en-US"/>
        </w:rPr>
        <w:t xml:space="preserve"> Consiglio di adottare azioni al più presto per ottenere risultati concreti a favore dei cittadini;</w:t>
      </w:r>
    </w:p>
    <w:p w:rsidR="006C245D" w:rsidRPr="000D22E1" w:rsidRDefault="006C245D" w:rsidP="000D22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D22E1">
        <w:rPr>
          <w:rFonts w:ascii="Arial" w:hAnsi="Arial" w:cs="Arial"/>
          <w:sz w:val="24"/>
          <w:szCs w:val="24"/>
          <w:lang w:eastAsia="en-US"/>
        </w:rPr>
        <w:t>l'</w:t>
      </w:r>
      <w:proofErr w:type="gramEnd"/>
      <w:r w:rsidRPr="000D22E1">
        <w:rPr>
          <w:rFonts w:ascii="Arial" w:hAnsi="Arial" w:cs="Arial"/>
          <w:sz w:val="24"/>
          <w:szCs w:val="24"/>
          <w:lang w:eastAsia="en-US"/>
        </w:rPr>
        <w:t xml:space="preserve">allegato IV elenca le </w:t>
      </w:r>
      <w:r w:rsidRPr="000D22E1">
        <w:rPr>
          <w:rFonts w:ascii="Arial" w:hAnsi="Arial" w:cs="Arial"/>
          <w:b/>
          <w:sz w:val="24"/>
          <w:szCs w:val="24"/>
          <w:lang w:eastAsia="en-US"/>
        </w:rPr>
        <w:t>proposte pendenti che si intendono ritirare o modificare</w:t>
      </w:r>
      <w:r w:rsidRPr="000D22E1">
        <w:rPr>
          <w:rFonts w:ascii="Arial" w:hAnsi="Arial" w:cs="Arial"/>
          <w:sz w:val="24"/>
          <w:szCs w:val="24"/>
          <w:lang w:eastAsia="en-US"/>
        </w:rPr>
        <w:t>;</w:t>
      </w:r>
    </w:p>
    <w:p w:rsidR="006C245D" w:rsidRPr="000D22E1" w:rsidRDefault="006C245D" w:rsidP="000D22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D22E1">
        <w:rPr>
          <w:rFonts w:ascii="Arial" w:hAnsi="Arial" w:cs="Arial"/>
          <w:sz w:val="24"/>
          <w:szCs w:val="24"/>
          <w:lang w:eastAsia="en-US"/>
        </w:rPr>
        <w:t>l'</w:t>
      </w:r>
      <w:proofErr w:type="gramEnd"/>
      <w:r w:rsidRPr="000D22E1">
        <w:rPr>
          <w:rFonts w:ascii="Arial" w:hAnsi="Arial" w:cs="Arial"/>
          <w:sz w:val="24"/>
          <w:szCs w:val="24"/>
          <w:lang w:eastAsia="en-US"/>
        </w:rPr>
        <w:t xml:space="preserve">allegato V è l'elenco delle </w:t>
      </w:r>
      <w:r w:rsidRPr="000D22E1">
        <w:rPr>
          <w:rFonts w:ascii="Arial" w:hAnsi="Arial" w:cs="Arial"/>
          <w:b/>
          <w:sz w:val="24"/>
          <w:szCs w:val="24"/>
          <w:lang w:eastAsia="en-US"/>
        </w:rPr>
        <w:t>abrogazioni</w:t>
      </w:r>
      <w:r w:rsidRPr="000D22E1">
        <w:rPr>
          <w:rFonts w:ascii="Arial" w:hAnsi="Arial" w:cs="Arial"/>
          <w:sz w:val="24"/>
          <w:szCs w:val="24"/>
          <w:lang w:eastAsia="en-US"/>
        </w:rPr>
        <w:t>;</w:t>
      </w:r>
    </w:p>
    <w:p w:rsidR="006C245D" w:rsidRPr="000D22E1" w:rsidRDefault="006C245D" w:rsidP="000D22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0D22E1">
        <w:rPr>
          <w:rFonts w:ascii="Arial" w:hAnsi="Arial" w:cs="Arial"/>
          <w:sz w:val="24"/>
          <w:szCs w:val="24"/>
          <w:lang w:eastAsia="en-US"/>
        </w:rPr>
        <w:t>l'</w:t>
      </w:r>
      <w:proofErr w:type="gramEnd"/>
      <w:r w:rsidRPr="000D22E1">
        <w:rPr>
          <w:rFonts w:ascii="Arial" w:hAnsi="Arial" w:cs="Arial"/>
          <w:sz w:val="24"/>
          <w:szCs w:val="24"/>
          <w:lang w:eastAsia="en-US"/>
        </w:rPr>
        <w:t xml:space="preserve">allegato </w:t>
      </w:r>
      <w:proofErr w:type="spellStart"/>
      <w:r w:rsidRPr="000D22E1">
        <w:rPr>
          <w:rFonts w:ascii="Arial" w:hAnsi="Arial" w:cs="Arial"/>
          <w:sz w:val="24"/>
          <w:szCs w:val="24"/>
          <w:lang w:eastAsia="en-US"/>
        </w:rPr>
        <w:t>VI</w:t>
      </w:r>
      <w:proofErr w:type="spellEnd"/>
      <w:r w:rsidRPr="000D22E1">
        <w:rPr>
          <w:rFonts w:ascii="Arial" w:hAnsi="Arial" w:cs="Arial"/>
          <w:sz w:val="24"/>
          <w:szCs w:val="24"/>
          <w:lang w:eastAsia="en-US"/>
        </w:rPr>
        <w:t xml:space="preserve"> fornisce alle parti interessate un elenco della </w:t>
      </w:r>
      <w:r w:rsidRPr="000D22E1">
        <w:rPr>
          <w:rFonts w:ascii="Arial" w:hAnsi="Arial" w:cs="Arial"/>
          <w:b/>
          <w:sz w:val="24"/>
          <w:szCs w:val="24"/>
          <w:lang w:eastAsia="en-US"/>
        </w:rPr>
        <w:t>legislazione che sarà applicabile nel 2016</w:t>
      </w:r>
      <w:r w:rsidRPr="000D22E1">
        <w:rPr>
          <w:rFonts w:ascii="Arial" w:hAnsi="Arial" w:cs="Arial"/>
          <w:sz w:val="24"/>
          <w:szCs w:val="24"/>
          <w:lang w:eastAsia="en-US"/>
        </w:rPr>
        <w:t>.</w:t>
      </w:r>
    </w:p>
    <w:p w:rsidR="00EA044E" w:rsidRDefault="00EA044E" w:rsidP="006C245D">
      <w:pPr>
        <w:autoSpaceDE w:val="0"/>
        <w:autoSpaceDN w:val="0"/>
        <w:adjustRightInd w:val="0"/>
        <w:rPr>
          <w:rFonts w:cs="Arial"/>
          <w:b/>
          <w:sz w:val="24"/>
          <w:u w:val="single"/>
        </w:rPr>
      </w:pPr>
    </w:p>
    <w:p w:rsidR="008F0734" w:rsidRDefault="008F0734" w:rsidP="008F0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F0734" w:rsidRPr="008F0734" w:rsidRDefault="008F0734" w:rsidP="008F0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8F0734">
        <w:rPr>
          <w:rFonts w:ascii="Arial" w:hAnsi="Arial" w:cs="Arial"/>
          <w:sz w:val="24"/>
          <w:szCs w:val="24"/>
          <w:lang w:eastAsia="en-US"/>
        </w:rPr>
        <w:t xml:space="preserve">La documentazione </w:t>
      </w:r>
      <w:r w:rsidR="002D0727">
        <w:rPr>
          <w:rFonts w:ascii="Arial" w:hAnsi="Arial" w:cs="Arial"/>
          <w:sz w:val="24"/>
          <w:szCs w:val="24"/>
          <w:lang w:eastAsia="en-US"/>
        </w:rPr>
        <w:t xml:space="preserve">(al momento non disponibile in italiano) </w:t>
      </w:r>
      <w:r w:rsidRPr="008F0734">
        <w:rPr>
          <w:rFonts w:ascii="Arial" w:hAnsi="Arial" w:cs="Arial"/>
          <w:sz w:val="24"/>
          <w:szCs w:val="24"/>
          <w:lang w:eastAsia="en-US"/>
        </w:rPr>
        <w:t>è reperibile all’indirizzo:</w:t>
      </w:r>
    </w:p>
    <w:p w:rsidR="008F0734" w:rsidRDefault="008F0734" w:rsidP="008F0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hyperlink r:id="rId9" w:history="1">
        <w:r w:rsidRPr="00032FCF">
          <w:rPr>
            <w:rStyle w:val="Lienhypertexte"/>
            <w:rFonts w:ascii="Arial" w:hAnsi="Arial" w:cs="Arial"/>
            <w:sz w:val="24"/>
            <w:szCs w:val="24"/>
            <w:lang w:eastAsia="en-US"/>
          </w:rPr>
          <w:t>http://ec.europa.eu/atwork/key-documents/index_it.htm</w:t>
        </w:r>
      </w:hyperlink>
    </w:p>
    <w:p w:rsidR="008F0734" w:rsidRDefault="008F0734" w:rsidP="008F0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F0734" w:rsidRDefault="008F0734" w:rsidP="008F0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2D0727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Nelle pagine seguenti i provvedimenti </w:t>
      </w:r>
      <w:proofErr w:type="gramStart"/>
      <w:r w:rsidRPr="002D0727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di </w:t>
      </w:r>
      <w:proofErr w:type="gramEnd"/>
      <w:r w:rsidRPr="002D0727">
        <w:rPr>
          <w:rFonts w:ascii="Arial" w:hAnsi="Arial" w:cs="Arial"/>
          <w:b/>
          <w:sz w:val="24"/>
          <w:szCs w:val="24"/>
          <w:u w:val="single"/>
          <w:lang w:eastAsia="en-US"/>
        </w:rPr>
        <w:t>interesse del settore delle costruzioni</w:t>
      </w:r>
      <w:r>
        <w:rPr>
          <w:rFonts w:ascii="Arial" w:hAnsi="Arial" w:cs="Arial"/>
          <w:sz w:val="24"/>
          <w:szCs w:val="24"/>
          <w:lang w:eastAsia="en-US"/>
        </w:rPr>
        <w:t xml:space="preserve"> inclusi nel programma di lavoro 2016.</w:t>
      </w:r>
    </w:p>
    <w:p w:rsidR="008F0734" w:rsidRDefault="008F0734" w:rsidP="008F07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F0734" w:rsidRDefault="008F0734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tbl>
      <w:tblPr>
        <w:tblStyle w:val="Grilledutableau"/>
        <w:tblW w:w="0" w:type="auto"/>
        <w:shd w:val="pct5" w:color="auto" w:fill="auto"/>
        <w:tblLook w:val="04A0"/>
      </w:tblPr>
      <w:tblGrid>
        <w:gridCol w:w="9354"/>
      </w:tblGrid>
      <w:tr w:rsidR="00B41E81" w:rsidTr="00FF7A7B">
        <w:tc>
          <w:tcPr>
            <w:tcW w:w="9354" w:type="dxa"/>
            <w:shd w:val="pct5" w:color="auto" w:fill="auto"/>
          </w:tcPr>
          <w:p w:rsidR="00963356" w:rsidRPr="008F0734" w:rsidRDefault="00963356" w:rsidP="00963356">
            <w:pPr>
              <w:autoSpaceDE w:val="0"/>
              <w:autoSpaceDN w:val="0"/>
              <w:adjustRightInd w:val="0"/>
              <w:rPr>
                <w:rStyle w:val="nolink"/>
                <w:rFonts w:ascii="Arial" w:hAnsi="Arial" w:cs="Arial"/>
                <w:sz w:val="19"/>
                <w:szCs w:val="19"/>
              </w:rPr>
            </w:pPr>
          </w:p>
          <w:p w:rsidR="00963356" w:rsidRPr="000D22E1" w:rsidRDefault="00963356" w:rsidP="000D22E1">
            <w:pPr>
              <w:pStyle w:val="Stiletestocorrente"/>
              <w:spacing w:before="120" w:after="240" w:line="240" w:lineRule="auto"/>
              <w:ind w:left="0"/>
              <w:contextualSpacing w:val="0"/>
              <w:jc w:val="center"/>
              <w:rPr>
                <w:rFonts w:cs="Arial"/>
                <w:b/>
                <w:color w:val="000080"/>
                <w:sz w:val="28"/>
                <w:szCs w:val="28"/>
                <w:u w:val="single"/>
              </w:rPr>
            </w:pPr>
            <w:r w:rsidRPr="000D22E1">
              <w:rPr>
                <w:rFonts w:cs="Arial"/>
                <w:b/>
                <w:color w:val="000080"/>
                <w:sz w:val="28"/>
                <w:szCs w:val="28"/>
                <w:u w:val="single"/>
              </w:rPr>
              <w:t xml:space="preserve">PROGRAMMA </w:t>
            </w:r>
            <w:proofErr w:type="spellStart"/>
            <w:r w:rsidRPr="000D22E1">
              <w:rPr>
                <w:rFonts w:cs="Arial"/>
                <w:b/>
                <w:color w:val="000080"/>
                <w:sz w:val="28"/>
                <w:szCs w:val="28"/>
                <w:u w:val="single"/>
              </w:rPr>
              <w:t>DI</w:t>
            </w:r>
            <w:proofErr w:type="spellEnd"/>
            <w:r w:rsidRPr="000D22E1">
              <w:rPr>
                <w:rFonts w:cs="Arial"/>
                <w:b/>
                <w:color w:val="000080"/>
                <w:sz w:val="28"/>
                <w:szCs w:val="28"/>
                <w:u w:val="single"/>
              </w:rPr>
              <w:t xml:space="preserve"> LAVORO DELLA COMMISSIONE PER IL 2016</w:t>
            </w:r>
          </w:p>
          <w:p w:rsidR="000D22E1" w:rsidRPr="000D22E1" w:rsidRDefault="00D16F53" w:rsidP="000D22E1">
            <w:pPr>
              <w:pStyle w:val="Stiletestocorrente"/>
              <w:spacing w:before="120" w:after="240" w:line="240" w:lineRule="auto"/>
              <w:ind w:left="0"/>
              <w:contextualSpacing w:val="0"/>
              <w:jc w:val="center"/>
              <w:rPr>
                <w:rFonts w:cs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color w:val="000080"/>
                <w:sz w:val="22"/>
                <w:szCs w:val="22"/>
                <w:u w:val="single"/>
              </w:rPr>
              <w:t>PROVVEDIMENTI</w:t>
            </w:r>
            <w:r w:rsidR="000D22E1" w:rsidRPr="000D22E1">
              <w:rPr>
                <w:rFonts w:cs="Arial"/>
                <w:b/>
                <w:color w:val="000080"/>
                <w:sz w:val="22"/>
                <w:szCs w:val="22"/>
                <w:u w:val="single"/>
              </w:rPr>
              <w:t xml:space="preserve"> </w:t>
            </w:r>
            <w:proofErr w:type="spellStart"/>
            <w:r w:rsidR="000D22E1" w:rsidRPr="000D22E1">
              <w:rPr>
                <w:rFonts w:cs="Arial"/>
                <w:b/>
                <w:color w:val="000080"/>
                <w:sz w:val="22"/>
                <w:szCs w:val="22"/>
                <w:u w:val="single"/>
              </w:rPr>
              <w:t>DI</w:t>
            </w:r>
            <w:proofErr w:type="spellEnd"/>
            <w:r w:rsidR="000D22E1" w:rsidRPr="000D22E1">
              <w:rPr>
                <w:rFonts w:cs="Arial"/>
                <w:b/>
                <w:color w:val="000080"/>
                <w:sz w:val="22"/>
                <w:szCs w:val="22"/>
                <w:u w:val="single"/>
              </w:rPr>
              <w:t xml:space="preserve"> INTERESSE PER IL SETTORE DELLE COSTRUZIONI</w:t>
            </w:r>
          </w:p>
          <w:p w:rsidR="00963356" w:rsidRPr="008F0734" w:rsidRDefault="00963356" w:rsidP="00963356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b/>
                <w:sz w:val="24"/>
                <w:szCs w:val="24"/>
              </w:rPr>
            </w:pPr>
            <w:r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 xml:space="preserve">Allegato I: </w:t>
            </w:r>
            <w:proofErr w:type="gramStart"/>
            <w:r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>Nuove iniziative</w:t>
            </w:r>
            <w:proofErr w:type="gramEnd"/>
          </w:p>
          <w:p w:rsidR="00963356" w:rsidRPr="008F0734" w:rsidRDefault="00963356" w:rsidP="00963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63356" w:rsidRPr="008F0734" w:rsidRDefault="00963356" w:rsidP="008F0734">
            <w:pPr>
              <w:pStyle w:val="Default"/>
              <w:numPr>
                <w:ilvl w:val="0"/>
                <w:numId w:val="13"/>
              </w:numPr>
            </w:pPr>
            <w:r w:rsidRPr="008F0734">
              <w:rPr>
                <w:rFonts w:eastAsia="Cambria"/>
                <w:b/>
                <w:color w:val="000080"/>
                <w:u w:val="single"/>
              </w:rPr>
              <w:t>Agenda per le nuove abilità per l’Europa</w:t>
            </w:r>
            <w:r w:rsidRPr="00933CF0">
              <w:t xml:space="preserve"> </w:t>
            </w:r>
            <w:r w:rsidRPr="008F0734">
              <w:t xml:space="preserve">– L’Agenda mira alla </w:t>
            </w:r>
            <w:proofErr w:type="gramStart"/>
            <w:r w:rsidRPr="008F0734">
              <w:t>promozione</w:t>
            </w:r>
            <w:proofErr w:type="gramEnd"/>
            <w:r w:rsidRPr="008F0734">
              <w:t xml:space="preserve"> delle nuove </w:t>
            </w:r>
            <w:proofErr w:type="spellStart"/>
            <w:r w:rsidRPr="008F0734">
              <w:rPr>
                <w:i/>
              </w:rPr>
              <w:t>skill</w:t>
            </w:r>
            <w:r w:rsidR="000D22E1" w:rsidRPr="008F0734">
              <w:rPr>
                <w:i/>
              </w:rPr>
              <w:t>s</w:t>
            </w:r>
            <w:proofErr w:type="spellEnd"/>
            <w:r w:rsidRPr="008F0734">
              <w:t xml:space="preserve">, </w:t>
            </w:r>
            <w:r w:rsidR="000D22E1" w:rsidRPr="008F0734">
              <w:t>del</w:t>
            </w:r>
            <w:r w:rsidRPr="008F0734">
              <w:t xml:space="preserve"> </w:t>
            </w:r>
            <w:r w:rsidRPr="008F0734">
              <w:rPr>
                <w:b/>
              </w:rPr>
              <w:t>mutuo riconoscimento delle qualifiche</w:t>
            </w:r>
            <w:r w:rsidRPr="008F0734">
              <w:t xml:space="preserve"> e </w:t>
            </w:r>
            <w:r w:rsidR="000D22E1" w:rsidRPr="008F0734">
              <w:t>de</w:t>
            </w:r>
            <w:r w:rsidRPr="008F0734">
              <w:t xml:space="preserve">l </w:t>
            </w:r>
            <w:r w:rsidRPr="008F0734">
              <w:rPr>
                <w:b/>
              </w:rPr>
              <w:t>sostegno</w:t>
            </w:r>
            <w:r w:rsidRPr="008F0734">
              <w:t xml:space="preserve"> </w:t>
            </w:r>
            <w:r w:rsidRPr="008F0734">
              <w:rPr>
                <w:b/>
              </w:rPr>
              <w:t>alla</w:t>
            </w:r>
            <w:r w:rsidRPr="008F0734">
              <w:t xml:space="preserve"> </w:t>
            </w:r>
            <w:r w:rsidRPr="008F0734">
              <w:rPr>
                <w:b/>
              </w:rPr>
              <w:t>formazione professionale</w:t>
            </w:r>
            <w:r w:rsidRPr="008F0734">
              <w:t xml:space="preserve">  </w:t>
            </w:r>
          </w:p>
          <w:p w:rsidR="00963356" w:rsidRPr="008F0734" w:rsidRDefault="00963356" w:rsidP="00963356">
            <w:pPr>
              <w:pStyle w:val="Default"/>
            </w:pPr>
          </w:p>
          <w:p w:rsidR="00963356" w:rsidRPr="002D0727" w:rsidRDefault="00963356" w:rsidP="008F0734">
            <w:pPr>
              <w:pStyle w:val="Default"/>
              <w:numPr>
                <w:ilvl w:val="0"/>
                <w:numId w:val="13"/>
              </w:numPr>
              <w:rPr>
                <w:b/>
              </w:rPr>
            </w:pPr>
            <w:r w:rsidRPr="008F0734">
              <w:rPr>
                <w:rFonts w:eastAsia="Cambria"/>
                <w:b/>
                <w:color w:val="000080"/>
                <w:u w:val="single"/>
              </w:rPr>
              <w:t xml:space="preserve">Pacchetto </w:t>
            </w:r>
            <w:proofErr w:type="gramStart"/>
            <w:r w:rsidRPr="008F0734">
              <w:rPr>
                <w:rFonts w:eastAsia="Cambria"/>
                <w:b/>
                <w:color w:val="000080"/>
                <w:u w:val="single"/>
              </w:rPr>
              <w:t>relativo all’</w:t>
            </w:r>
            <w:proofErr w:type="gramEnd"/>
            <w:r w:rsidRPr="008F0734">
              <w:rPr>
                <w:rFonts w:eastAsia="Cambria"/>
                <w:b/>
                <w:color w:val="000080"/>
                <w:u w:val="single"/>
              </w:rPr>
              <w:t>economia circolare</w:t>
            </w:r>
            <w:r w:rsidRPr="008F0734">
              <w:t>: intende promuovere l’</w:t>
            </w:r>
            <w:r w:rsidRPr="008F0734">
              <w:rPr>
                <w:b/>
              </w:rPr>
              <w:t>uso efficiente delle risorse</w:t>
            </w:r>
            <w:r w:rsidRPr="008F0734">
              <w:t xml:space="preserve">, lungo tutto il ciclo del prodotto. Il pacchetto includerà anche una proposta di </w:t>
            </w:r>
            <w:proofErr w:type="gramStart"/>
            <w:r w:rsidRPr="008F0734">
              <w:rPr>
                <w:b/>
              </w:rPr>
              <w:t>revisione</w:t>
            </w:r>
            <w:proofErr w:type="gramEnd"/>
            <w:r w:rsidRPr="008F0734">
              <w:rPr>
                <w:b/>
              </w:rPr>
              <w:t xml:space="preserve"> della direttiva quadro sui rifiuti</w:t>
            </w:r>
            <w:r w:rsidRPr="008F0734">
              <w:t xml:space="preserve">, con la definizione di </w:t>
            </w:r>
            <w:r w:rsidRPr="008F0734">
              <w:rPr>
                <w:b/>
              </w:rPr>
              <w:t>nuovi target di riciclaggio</w:t>
            </w:r>
            <w:r w:rsidRPr="008F0734">
              <w:t xml:space="preserve"> </w:t>
            </w:r>
            <w:r w:rsidR="000D22E1" w:rsidRPr="008F0734">
              <w:t xml:space="preserve">per determinati flussi </w:t>
            </w:r>
            <w:r w:rsidR="000D22E1" w:rsidRPr="002D0727">
              <w:rPr>
                <w:b/>
              </w:rPr>
              <w:t>rifiu</w:t>
            </w:r>
            <w:r w:rsidRPr="002D0727">
              <w:rPr>
                <w:b/>
              </w:rPr>
              <w:t>ti</w:t>
            </w:r>
            <w:r w:rsidR="000D22E1" w:rsidRPr="008F0734">
              <w:t xml:space="preserve"> tra cui, molto probabilmente, quelli da </w:t>
            </w:r>
            <w:r w:rsidR="000D22E1" w:rsidRPr="002D0727">
              <w:rPr>
                <w:b/>
              </w:rPr>
              <w:t>costruzione e demolizione</w:t>
            </w:r>
            <w:r w:rsidRPr="002D0727">
              <w:rPr>
                <w:b/>
              </w:rPr>
              <w:t>.</w:t>
            </w:r>
          </w:p>
          <w:p w:rsidR="00963356" w:rsidRPr="002D0727" w:rsidRDefault="00963356" w:rsidP="00963356">
            <w:pPr>
              <w:pStyle w:val="Default"/>
              <w:rPr>
                <w:b/>
              </w:rPr>
            </w:pPr>
          </w:p>
          <w:p w:rsidR="00963356" w:rsidRPr="008F0734" w:rsidRDefault="00963356" w:rsidP="008F0734">
            <w:pPr>
              <w:pStyle w:val="Default"/>
              <w:numPr>
                <w:ilvl w:val="0"/>
                <w:numId w:val="13"/>
              </w:numPr>
            </w:pPr>
            <w:proofErr w:type="gramStart"/>
            <w:r w:rsidRPr="008F0734">
              <w:rPr>
                <w:rFonts w:eastAsia="Cambria"/>
                <w:b/>
                <w:color w:val="000080"/>
                <w:u w:val="single"/>
              </w:rPr>
              <w:t>Revisione</w:t>
            </w:r>
            <w:proofErr w:type="gramEnd"/>
            <w:r w:rsidRPr="008F0734">
              <w:rPr>
                <w:rFonts w:eastAsia="Cambria"/>
                <w:b/>
                <w:color w:val="000080"/>
                <w:u w:val="single"/>
              </w:rPr>
              <w:t xml:space="preserve"> del Quadro finanziario pluriennale </w:t>
            </w:r>
            <w:r w:rsidRPr="00933CF0">
              <w:rPr>
                <w:rFonts w:eastAsia="Cambria"/>
                <w:b/>
                <w:color w:val="000080"/>
                <w:u w:val="single"/>
              </w:rPr>
              <w:t>2014-2020</w:t>
            </w:r>
            <w:r w:rsidRPr="00933CF0">
              <w:t xml:space="preserve"> </w:t>
            </w:r>
            <w:r w:rsidR="000D22E1" w:rsidRPr="008F0734">
              <w:t>: i</w:t>
            </w:r>
            <w:r w:rsidRPr="008F0734">
              <w:t xml:space="preserve"> finanziamenti saranno indirizzati meglio verso le priorità dell’Unione e saranno </w:t>
            </w:r>
            <w:r w:rsidRPr="008F0734">
              <w:rPr>
                <w:b/>
              </w:rPr>
              <w:t xml:space="preserve">semplificate le regole di utilizzo </w:t>
            </w:r>
            <w:r w:rsidR="000D22E1" w:rsidRPr="008F0734">
              <w:rPr>
                <w:b/>
              </w:rPr>
              <w:t>di alcuni fondi</w:t>
            </w:r>
            <w:r w:rsidR="000D22E1" w:rsidRPr="008F0734">
              <w:t xml:space="preserve"> </w:t>
            </w:r>
            <w:r w:rsidRPr="008F0734">
              <w:t xml:space="preserve">(ad. </w:t>
            </w:r>
            <w:proofErr w:type="spellStart"/>
            <w:r w:rsidRPr="008F0734">
              <w:t>Es</w:t>
            </w:r>
            <w:proofErr w:type="spellEnd"/>
            <w:r w:rsidRPr="008F0734">
              <w:t xml:space="preserve">: dei Fondi strutturali e </w:t>
            </w:r>
            <w:proofErr w:type="gramStart"/>
            <w:r w:rsidRPr="008F0734">
              <w:t xml:space="preserve">di </w:t>
            </w:r>
            <w:proofErr w:type="gramEnd"/>
            <w:r w:rsidRPr="008F0734">
              <w:t xml:space="preserve">investimento e del Programma </w:t>
            </w:r>
            <w:proofErr w:type="spellStart"/>
            <w:r w:rsidRPr="008F0734">
              <w:t>Horizon</w:t>
            </w:r>
            <w:proofErr w:type="spellEnd"/>
            <w:r w:rsidRPr="008F0734">
              <w:t xml:space="preserve"> 2020</w:t>
            </w:r>
            <w:r w:rsidR="000D22E1" w:rsidRPr="008F0734">
              <w:t>)</w:t>
            </w:r>
            <w:r w:rsidRPr="008F0734">
              <w:t>.</w:t>
            </w:r>
          </w:p>
          <w:p w:rsidR="00963356" w:rsidRPr="008F0734" w:rsidRDefault="00963356" w:rsidP="00963356">
            <w:pPr>
              <w:pStyle w:val="Default"/>
            </w:pPr>
          </w:p>
          <w:p w:rsidR="00963356" w:rsidRPr="008F0734" w:rsidRDefault="00963356" w:rsidP="008F0734">
            <w:pPr>
              <w:pStyle w:val="Default"/>
              <w:numPr>
                <w:ilvl w:val="0"/>
                <w:numId w:val="13"/>
              </w:numPr>
            </w:pPr>
            <w:r w:rsidRPr="008F0734">
              <w:t xml:space="preserve">Prossimi passi per un </w:t>
            </w:r>
            <w:r w:rsidR="000D22E1" w:rsidRPr="008F0734">
              <w:rPr>
                <w:rFonts w:eastAsia="Cambria"/>
                <w:b/>
                <w:color w:val="000080"/>
                <w:u w:val="single"/>
              </w:rPr>
              <w:t>F</w:t>
            </w:r>
            <w:r w:rsidRPr="008F0734">
              <w:rPr>
                <w:rFonts w:eastAsia="Cambria"/>
                <w:b/>
                <w:color w:val="000080"/>
                <w:u w:val="single"/>
              </w:rPr>
              <w:t>uturo sostenibile dell’Europa</w:t>
            </w:r>
            <w:r w:rsidRPr="008F0734">
              <w:t xml:space="preserve">. </w:t>
            </w:r>
            <w:proofErr w:type="gramStart"/>
            <w:r w:rsidRPr="008F0734">
              <w:t>Verrà</w:t>
            </w:r>
            <w:proofErr w:type="gramEnd"/>
            <w:r w:rsidRPr="008F0734">
              <w:t xml:space="preserve"> stabilito un </w:t>
            </w:r>
            <w:r w:rsidR="000D22E1" w:rsidRPr="008F0734">
              <w:t>n</w:t>
            </w:r>
            <w:r w:rsidRPr="008F0734">
              <w:t>uovo approccio per assicurare la crescita economica e la sostenibilità social</w:t>
            </w:r>
            <w:r w:rsidR="000D22E1" w:rsidRPr="008F0734">
              <w:t>e</w:t>
            </w:r>
            <w:r w:rsidRPr="008F0734">
              <w:t xml:space="preserve"> ed ambientale oltre il 2020.</w:t>
            </w:r>
          </w:p>
          <w:p w:rsidR="00963356" w:rsidRPr="008F0734" w:rsidRDefault="00963356" w:rsidP="00963356">
            <w:pPr>
              <w:pStyle w:val="Default"/>
            </w:pPr>
          </w:p>
          <w:p w:rsidR="00963356" w:rsidRPr="008F0734" w:rsidRDefault="00963356" w:rsidP="008F0734">
            <w:pPr>
              <w:pStyle w:val="Default"/>
              <w:numPr>
                <w:ilvl w:val="0"/>
                <w:numId w:val="13"/>
              </w:numPr>
            </w:pPr>
            <w:r w:rsidRPr="00933CF0">
              <w:rPr>
                <w:rFonts w:eastAsia="Cambria"/>
                <w:b/>
                <w:color w:val="000080"/>
                <w:u w:val="single"/>
              </w:rPr>
              <w:t xml:space="preserve">Energy </w:t>
            </w:r>
            <w:proofErr w:type="spellStart"/>
            <w:r w:rsidRPr="00933CF0">
              <w:rPr>
                <w:rFonts w:eastAsia="Cambria"/>
                <w:b/>
                <w:color w:val="000080"/>
                <w:u w:val="single"/>
              </w:rPr>
              <w:t>Union</w:t>
            </w:r>
            <w:proofErr w:type="spellEnd"/>
            <w:r w:rsidRPr="008F0734">
              <w:t>: nel pacchetto sull’Unione energetica è ricompreso anche</w:t>
            </w:r>
            <w:r w:rsidRPr="00933CF0">
              <w:t xml:space="preserve"> </w:t>
            </w:r>
            <w:r w:rsidRPr="008F0734">
              <w:t xml:space="preserve">quello sull’efficienza energetica, che a sua volta, molto probabilmente conterrà una proposta di </w:t>
            </w:r>
            <w:proofErr w:type="gramStart"/>
            <w:r w:rsidRPr="008F0734">
              <w:rPr>
                <w:b/>
              </w:rPr>
              <w:t>revisione</w:t>
            </w:r>
            <w:proofErr w:type="gramEnd"/>
            <w:r w:rsidRPr="008F0734">
              <w:rPr>
                <w:b/>
              </w:rPr>
              <w:t xml:space="preserve"> della direttiva sull’efficienza energetica negli edifici</w:t>
            </w:r>
            <w:r w:rsidRPr="008F0734">
              <w:t xml:space="preserve"> (REFIT). </w:t>
            </w:r>
          </w:p>
          <w:p w:rsidR="00963356" w:rsidRPr="008F0734" w:rsidRDefault="00963356" w:rsidP="00963356">
            <w:pPr>
              <w:pStyle w:val="Default"/>
            </w:pPr>
          </w:p>
          <w:p w:rsidR="00963356" w:rsidRPr="008F0734" w:rsidRDefault="00963356" w:rsidP="00963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63356" w:rsidRPr="008F0734" w:rsidRDefault="00963356" w:rsidP="008F0734">
            <w:pPr>
              <w:pStyle w:val="Default"/>
              <w:numPr>
                <w:ilvl w:val="0"/>
                <w:numId w:val="13"/>
              </w:numPr>
            </w:pPr>
            <w:proofErr w:type="spellStart"/>
            <w:r w:rsidRPr="00933CF0">
              <w:rPr>
                <w:rFonts w:eastAsia="Cambria"/>
                <w:b/>
                <w:color w:val="000080"/>
                <w:u w:val="single"/>
              </w:rPr>
              <w:t>Labour</w:t>
            </w:r>
            <w:proofErr w:type="spellEnd"/>
            <w:r w:rsidRPr="00933CF0">
              <w:rPr>
                <w:rFonts w:eastAsia="Cambria"/>
                <w:b/>
                <w:color w:val="000080"/>
                <w:u w:val="single"/>
              </w:rPr>
              <w:t xml:space="preserve"> </w:t>
            </w:r>
            <w:proofErr w:type="spellStart"/>
            <w:r w:rsidRPr="00933CF0">
              <w:rPr>
                <w:rFonts w:eastAsia="Cambria"/>
                <w:b/>
                <w:color w:val="000080"/>
                <w:u w:val="single"/>
              </w:rPr>
              <w:t>Mobility</w:t>
            </w:r>
            <w:proofErr w:type="spellEnd"/>
            <w:r w:rsidRPr="00933CF0">
              <w:rPr>
                <w:rFonts w:eastAsia="Cambria"/>
                <w:b/>
                <w:color w:val="000080"/>
                <w:u w:val="single"/>
              </w:rPr>
              <w:t xml:space="preserve"> Package</w:t>
            </w:r>
            <w:proofErr w:type="gramStart"/>
            <w:r w:rsidRPr="00933CF0">
              <w:t xml:space="preserve"> </w:t>
            </w:r>
            <w:r w:rsidR="00FD4A06" w:rsidRPr="008F0734">
              <w:rPr>
                <w:rFonts w:eastAsia="Cambria"/>
              </w:rPr>
              <w:t>:</w:t>
            </w:r>
            <w:proofErr w:type="gramEnd"/>
            <w:r w:rsidRPr="008F0734">
              <w:rPr>
                <w:rFonts w:eastAsia="Cambria"/>
              </w:rPr>
              <w:t xml:space="preserve"> dovrebbe </w:t>
            </w:r>
            <w:r w:rsidR="00FD4A06" w:rsidRPr="008F0734">
              <w:rPr>
                <w:rFonts w:eastAsia="Cambria"/>
              </w:rPr>
              <w:t xml:space="preserve">essere </w:t>
            </w:r>
            <w:r w:rsidRPr="008F0734">
              <w:rPr>
                <w:rFonts w:eastAsia="Cambria"/>
              </w:rPr>
              <w:t>adotta</w:t>
            </w:r>
            <w:r w:rsidR="00FD4A06" w:rsidRPr="008F0734">
              <w:rPr>
                <w:rFonts w:eastAsia="Cambria"/>
              </w:rPr>
              <w:t>to</w:t>
            </w:r>
            <w:r w:rsidRPr="008F0734">
              <w:rPr>
                <w:rFonts w:eastAsia="Cambria"/>
              </w:rPr>
              <w:t xml:space="preserve"> entro la fine del 20</w:t>
            </w:r>
            <w:r w:rsidR="00FD4A06" w:rsidRPr="008F0734">
              <w:rPr>
                <w:rFonts w:eastAsia="Cambria"/>
              </w:rPr>
              <w:t>15</w:t>
            </w:r>
            <w:r w:rsidRPr="008F0734">
              <w:rPr>
                <w:rFonts w:eastAsia="Cambria"/>
              </w:rPr>
              <w:t xml:space="preserve"> </w:t>
            </w:r>
            <w:r w:rsidR="00FD4A06" w:rsidRPr="008F0734">
              <w:rPr>
                <w:rFonts w:eastAsia="Cambria"/>
              </w:rPr>
              <w:t>e</w:t>
            </w:r>
            <w:r w:rsidRPr="008F0734">
              <w:rPr>
                <w:rFonts w:eastAsia="Cambria"/>
              </w:rPr>
              <w:t xml:space="preserve"> dovrebbe contenere una proposta per delle modifiche puntuali della direttiva s</w:t>
            </w:r>
            <w:r w:rsidRPr="008F0734">
              <w:t>ul “</w:t>
            </w:r>
            <w:r w:rsidRPr="008F0734">
              <w:rPr>
                <w:b/>
              </w:rPr>
              <w:t>distacco dei lavoratori</w:t>
            </w:r>
            <w:r w:rsidRPr="008F0734">
              <w:t>” e una modifica del regolamento sulla “</w:t>
            </w:r>
            <w:r w:rsidRPr="008F0734">
              <w:rPr>
                <w:b/>
              </w:rPr>
              <w:t>sicurezza sociale</w:t>
            </w:r>
            <w:r w:rsidRPr="008F0734">
              <w:t xml:space="preserve"> </w:t>
            </w:r>
          </w:p>
          <w:p w:rsidR="00963356" w:rsidRPr="008F0734" w:rsidRDefault="00963356" w:rsidP="00963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63356" w:rsidRPr="008F0734" w:rsidRDefault="00963356" w:rsidP="008F0734">
            <w:pPr>
              <w:pStyle w:val="Default"/>
              <w:numPr>
                <w:ilvl w:val="0"/>
                <w:numId w:val="13"/>
              </w:numPr>
            </w:pPr>
            <w:r w:rsidRPr="008F0734">
              <w:t xml:space="preserve">Seguiti della </w:t>
            </w:r>
            <w:r w:rsidRPr="008F0734">
              <w:rPr>
                <w:rFonts w:eastAsia="Cambria"/>
                <w:b/>
                <w:color w:val="000080"/>
                <w:u w:val="single"/>
              </w:rPr>
              <w:t>strategia sul Mercato interno</w:t>
            </w:r>
            <w:r w:rsidRPr="008F0734">
              <w:t xml:space="preserve">. La nuova strategia, approvata oggi, prevede varie misure </w:t>
            </w:r>
            <w:proofErr w:type="gramStart"/>
            <w:r w:rsidRPr="008F0734">
              <w:t xml:space="preserve">di </w:t>
            </w:r>
            <w:proofErr w:type="gramEnd"/>
            <w:r w:rsidRPr="008F0734">
              <w:t xml:space="preserve">interesse del settore delle costruzioni: potenzierà il </w:t>
            </w:r>
            <w:r w:rsidRPr="007D5241">
              <w:rPr>
                <w:b/>
              </w:rPr>
              <w:t>riconoscimento delle qualifiche professionali</w:t>
            </w:r>
            <w:r w:rsidRPr="008F0734">
              <w:t xml:space="preserve"> e faciliterà l'erogazione a livello transfrontaliero di servizi nel settore delle costruzioni, prevede</w:t>
            </w:r>
            <w:r w:rsidRPr="00933CF0">
              <w:t xml:space="preserve"> </w:t>
            </w:r>
            <w:r w:rsidRPr="008F0734">
              <w:t xml:space="preserve">il </w:t>
            </w:r>
            <w:r w:rsidRPr="008F0734">
              <w:rPr>
                <w:b/>
              </w:rPr>
              <w:t>miglioramento delle condizioni di accesso alle professioni di ingegnere e di architetto</w:t>
            </w:r>
            <w:r w:rsidRPr="008F0734">
              <w:t xml:space="preserve">, la possibilità di effettuare una </w:t>
            </w:r>
            <w:r w:rsidRPr="008F0734">
              <w:rPr>
                <w:b/>
              </w:rPr>
              <w:t>valutazione ex-ante per i progetti infrastrutturali di grande dimensione</w:t>
            </w:r>
            <w:r w:rsidRPr="008F0734">
              <w:t xml:space="preserve">, al fine di evitare il più possibile il contenzioso a valle della gara. Gli Stati membri saranno anche incoraggiati a creare e mettere in rete </w:t>
            </w:r>
            <w:r w:rsidRPr="008F0734">
              <w:rPr>
                <w:b/>
              </w:rPr>
              <w:t>organismi amministrativi indipendenti per la risoluzione delle controversie nel campo degli appalti pubblici</w:t>
            </w:r>
            <w:r w:rsidRPr="008F0734">
              <w:t>.</w:t>
            </w:r>
          </w:p>
          <w:p w:rsidR="00963356" w:rsidRPr="008F0734" w:rsidRDefault="00963356" w:rsidP="00963356">
            <w:pPr>
              <w:pStyle w:val="Default"/>
              <w:rPr>
                <w:lang w:val="en-GB"/>
              </w:rPr>
            </w:pPr>
          </w:p>
          <w:p w:rsidR="00963356" w:rsidRPr="008F0734" w:rsidRDefault="00FD4A06" w:rsidP="008F0734">
            <w:pPr>
              <w:pStyle w:val="Default"/>
              <w:numPr>
                <w:ilvl w:val="0"/>
                <w:numId w:val="13"/>
              </w:numPr>
            </w:pPr>
            <w:r w:rsidRPr="008F0734">
              <w:rPr>
                <w:rFonts w:eastAsia="Cambria"/>
                <w:b/>
                <w:color w:val="000080"/>
                <w:u w:val="single"/>
              </w:rPr>
              <w:t>Piano d’azione sull’IVA</w:t>
            </w:r>
            <w:proofErr w:type="gramStart"/>
            <w:r w:rsidR="00963356" w:rsidRPr="00933CF0">
              <w:t xml:space="preserve"> </w:t>
            </w:r>
            <w:r w:rsidR="00963356" w:rsidRPr="008F0734">
              <w:t>:</w:t>
            </w:r>
            <w:proofErr w:type="gramEnd"/>
            <w:r w:rsidR="00963356" w:rsidRPr="008F0734">
              <w:t xml:space="preserve"> mira a potenziare i meccanismi anti-f</w:t>
            </w:r>
            <w:r w:rsidRPr="008F0734">
              <w:t>r</w:t>
            </w:r>
            <w:r w:rsidR="00963356" w:rsidRPr="008F0734">
              <w:t xml:space="preserve">ode e includerà iniziative sui tassi IVA (REFIT). </w:t>
            </w:r>
          </w:p>
          <w:p w:rsidR="008F0734" w:rsidRPr="008F0734" w:rsidRDefault="008F0734" w:rsidP="00963356">
            <w:pPr>
              <w:pStyle w:val="Default"/>
            </w:pPr>
          </w:p>
          <w:p w:rsidR="008F0734" w:rsidRDefault="008F0734" w:rsidP="008F0734">
            <w:pPr>
              <w:autoSpaceDE w:val="0"/>
              <w:autoSpaceDN w:val="0"/>
              <w:adjustRightInd w:val="0"/>
              <w:rPr>
                <w:rStyle w:val="nolink"/>
                <w:rFonts w:ascii="Arial" w:hAnsi="Arial" w:cs="Arial"/>
                <w:b/>
                <w:sz w:val="24"/>
                <w:szCs w:val="24"/>
              </w:rPr>
            </w:pPr>
          </w:p>
          <w:p w:rsidR="00FD4A06" w:rsidRPr="008F0734" w:rsidRDefault="008F0734" w:rsidP="008F0734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nolink"/>
                <w:rFonts w:ascii="Arial" w:hAnsi="Arial" w:cs="Arial"/>
                <w:b/>
                <w:sz w:val="24"/>
                <w:szCs w:val="24"/>
              </w:rPr>
              <w:t xml:space="preserve">Allegato </w:t>
            </w:r>
            <w:r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>II: Iniziative REFIT</w:t>
            </w:r>
          </w:p>
          <w:p w:rsidR="008F0734" w:rsidRPr="008F0734" w:rsidRDefault="008F0734" w:rsidP="008F0734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sz w:val="24"/>
                <w:szCs w:val="24"/>
              </w:rPr>
            </w:pPr>
          </w:p>
          <w:p w:rsidR="00963356" w:rsidRPr="008F0734" w:rsidRDefault="00963356" w:rsidP="002D0727">
            <w:pPr>
              <w:pStyle w:val="Default"/>
              <w:numPr>
                <w:ilvl w:val="0"/>
                <w:numId w:val="14"/>
              </w:numPr>
            </w:pPr>
            <w:r w:rsidRPr="00EA044E">
              <w:rPr>
                <w:rFonts w:eastAsia="Cambria"/>
                <w:b/>
                <w:color w:val="000080"/>
                <w:u w:val="single"/>
              </w:rPr>
              <w:t xml:space="preserve">Standard </w:t>
            </w:r>
            <w:proofErr w:type="spellStart"/>
            <w:r w:rsidRPr="00EA044E">
              <w:rPr>
                <w:rFonts w:eastAsia="Cambria"/>
                <w:b/>
                <w:color w:val="000080"/>
                <w:u w:val="single"/>
              </w:rPr>
              <w:t>Procurement</w:t>
            </w:r>
            <w:proofErr w:type="spellEnd"/>
            <w:r w:rsidRPr="00EA044E">
              <w:rPr>
                <w:rFonts w:eastAsia="Cambria"/>
                <w:b/>
                <w:color w:val="000080"/>
                <w:u w:val="single"/>
              </w:rPr>
              <w:t xml:space="preserve"> </w:t>
            </w:r>
            <w:proofErr w:type="spellStart"/>
            <w:r w:rsidRPr="00EA044E">
              <w:rPr>
                <w:rFonts w:eastAsia="Cambria"/>
                <w:b/>
                <w:color w:val="000080"/>
                <w:u w:val="single"/>
              </w:rPr>
              <w:t>Document</w:t>
            </w:r>
            <w:proofErr w:type="spellEnd"/>
            <w:r w:rsidRPr="00EA044E">
              <w:rPr>
                <w:rFonts w:eastAsia="Cambria"/>
                <w:b/>
                <w:color w:val="000080"/>
                <w:u w:val="single"/>
              </w:rPr>
              <w:t xml:space="preserve"> and Standard </w:t>
            </w:r>
            <w:proofErr w:type="spellStart"/>
            <w:r w:rsidRPr="00EA044E">
              <w:rPr>
                <w:rFonts w:eastAsia="Cambria"/>
                <w:b/>
                <w:color w:val="000080"/>
                <w:u w:val="single"/>
              </w:rPr>
              <w:t>Forms</w:t>
            </w:r>
            <w:proofErr w:type="spellEnd"/>
            <w:r w:rsidRPr="00EA044E">
              <w:rPr>
                <w:rFonts w:eastAsia="Cambria"/>
                <w:b/>
                <w:color w:val="000080"/>
                <w:u w:val="single"/>
              </w:rPr>
              <w:t xml:space="preserve"> </w:t>
            </w:r>
            <w:proofErr w:type="spellStart"/>
            <w:r w:rsidRPr="00EA044E">
              <w:rPr>
                <w:rFonts w:eastAsia="Cambria"/>
                <w:b/>
                <w:color w:val="000080"/>
                <w:u w:val="single"/>
              </w:rPr>
              <w:t>for</w:t>
            </w:r>
            <w:proofErr w:type="spellEnd"/>
            <w:r w:rsidRPr="00EA044E">
              <w:rPr>
                <w:rFonts w:eastAsia="Cambria"/>
                <w:b/>
                <w:color w:val="000080"/>
                <w:u w:val="single"/>
              </w:rPr>
              <w:t xml:space="preserve"> Public </w:t>
            </w:r>
            <w:proofErr w:type="spellStart"/>
            <w:r w:rsidRPr="00EA044E">
              <w:rPr>
                <w:rFonts w:eastAsia="Cambria"/>
                <w:b/>
                <w:color w:val="000080"/>
                <w:u w:val="single"/>
              </w:rPr>
              <w:t>Procurement</w:t>
            </w:r>
            <w:proofErr w:type="spellEnd"/>
            <w:r w:rsidRPr="00EA044E">
              <w:t xml:space="preserve"> </w:t>
            </w:r>
            <w:r w:rsidRPr="008F0734">
              <w:t xml:space="preserve">– Un </w:t>
            </w:r>
            <w:proofErr w:type="gramStart"/>
            <w:r w:rsidRPr="008F0734">
              <w:t>regolamento</w:t>
            </w:r>
            <w:proofErr w:type="gramEnd"/>
            <w:r w:rsidRPr="008F0734">
              <w:t xml:space="preserve"> attuativo della Commissione introdurrà il documento standard europeo per gli </w:t>
            </w:r>
            <w:r w:rsidR="00FD4A06" w:rsidRPr="008F0734">
              <w:t>a</w:t>
            </w:r>
            <w:r w:rsidRPr="008F0734">
              <w:t xml:space="preserve">ppalti </w:t>
            </w:r>
            <w:r w:rsidR="00FD4A06" w:rsidRPr="008F0734">
              <w:t>p</w:t>
            </w:r>
            <w:r w:rsidRPr="008F0734">
              <w:t>ubblici, che eviterà di dover riempire ripetutamente formulari con le stesse informazioni in caso di partecipazione a più gare.</w:t>
            </w:r>
          </w:p>
          <w:p w:rsidR="00963356" w:rsidRPr="008F0734" w:rsidRDefault="00963356" w:rsidP="00963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63356" w:rsidRPr="008F0734" w:rsidRDefault="00FD4A06" w:rsidP="002D0727">
            <w:pPr>
              <w:pStyle w:val="Default"/>
              <w:numPr>
                <w:ilvl w:val="0"/>
                <w:numId w:val="14"/>
              </w:numPr>
            </w:pPr>
            <w:r w:rsidRPr="008F0734">
              <w:rPr>
                <w:rFonts w:eastAsia="Cambria"/>
                <w:b/>
                <w:color w:val="000080"/>
                <w:u w:val="single"/>
              </w:rPr>
              <w:t xml:space="preserve">Direttiva </w:t>
            </w:r>
            <w:r w:rsidR="00963356" w:rsidRPr="008F0734">
              <w:rPr>
                <w:rFonts w:eastAsia="Cambria"/>
                <w:b/>
                <w:color w:val="000080"/>
                <w:u w:val="single"/>
              </w:rPr>
              <w:t>Ascensori</w:t>
            </w:r>
            <w:r w:rsidR="00963356" w:rsidRPr="00EA044E">
              <w:t xml:space="preserve"> (Dire</w:t>
            </w:r>
            <w:r w:rsidR="00963356" w:rsidRPr="008F0734">
              <w:t>t</w:t>
            </w:r>
            <w:r w:rsidR="00963356" w:rsidRPr="00EA044E">
              <w:t>tiv</w:t>
            </w:r>
            <w:r w:rsidR="00963356" w:rsidRPr="008F0734">
              <w:t>a</w:t>
            </w:r>
            <w:r w:rsidRPr="008F0734">
              <w:t xml:space="preserve"> 95/16/EC): </w:t>
            </w:r>
            <w:r w:rsidR="00963356" w:rsidRPr="008F0734">
              <w:t xml:space="preserve">la valutazione riguarderà il campo di applicazione, </w:t>
            </w:r>
            <w:proofErr w:type="gramStart"/>
            <w:r w:rsidR="00963356" w:rsidRPr="008F0734">
              <w:t>I requisiti essenziali</w:t>
            </w:r>
            <w:proofErr w:type="gramEnd"/>
            <w:r w:rsidR="00963356" w:rsidRPr="008F0734">
              <w:t xml:space="preserve"> di salute e Sicurezza e i loro legami con la procedura relativa sulla valutazione di conformità. </w:t>
            </w:r>
          </w:p>
          <w:p w:rsidR="00963356" w:rsidRPr="008F0734" w:rsidRDefault="00963356" w:rsidP="00963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D0727" w:rsidRDefault="002D0727" w:rsidP="00FD4A06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b/>
                <w:sz w:val="24"/>
                <w:szCs w:val="24"/>
              </w:rPr>
            </w:pPr>
          </w:p>
          <w:p w:rsidR="00963356" w:rsidRPr="008F0734" w:rsidRDefault="00963356" w:rsidP="00FD4A06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b/>
                <w:sz w:val="24"/>
                <w:szCs w:val="24"/>
              </w:rPr>
            </w:pPr>
            <w:r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>Allegato III: Proposte prioritarie in sospeso</w:t>
            </w:r>
          </w:p>
          <w:p w:rsidR="00FD4A06" w:rsidRPr="008F0734" w:rsidRDefault="00FD4A06" w:rsidP="00FD4A06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b/>
                <w:sz w:val="24"/>
                <w:szCs w:val="24"/>
              </w:rPr>
            </w:pPr>
          </w:p>
          <w:p w:rsidR="00963356" w:rsidRPr="008F0734" w:rsidRDefault="00963356" w:rsidP="008F0734">
            <w:pPr>
              <w:pStyle w:val="Default"/>
              <w:numPr>
                <w:ilvl w:val="0"/>
                <w:numId w:val="12"/>
              </w:numPr>
            </w:pPr>
            <w:r w:rsidRPr="008F0734">
              <w:rPr>
                <w:rFonts w:eastAsia="Cambria"/>
                <w:b/>
                <w:color w:val="000080"/>
                <w:u w:val="single"/>
              </w:rPr>
              <w:t>Piattaforma europea per la lotta al Lavoro nero</w:t>
            </w:r>
            <w:r w:rsidRPr="008F0734">
              <w:t xml:space="preserve">/ la proposta di decisione riguarda l’istituzione di una piattaforma per la collaborazione nella prevenzione del Lavoro nero. </w:t>
            </w:r>
          </w:p>
          <w:p w:rsidR="00963356" w:rsidRPr="008F0734" w:rsidRDefault="00963356" w:rsidP="00963356">
            <w:pPr>
              <w:pStyle w:val="Default"/>
            </w:pPr>
          </w:p>
          <w:p w:rsidR="002D0727" w:rsidRDefault="002D0727" w:rsidP="00FD4A06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b/>
                <w:sz w:val="24"/>
                <w:szCs w:val="24"/>
              </w:rPr>
            </w:pPr>
          </w:p>
          <w:p w:rsidR="00963356" w:rsidRPr="008F0734" w:rsidRDefault="00FD4A06" w:rsidP="00FD4A06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sz w:val="24"/>
                <w:szCs w:val="24"/>
              </w:rPr>
            </w:pPr>
            <w:r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 xml:space="preserve">Allegato </w:t>
            </w:r>
            <w:r w:rsidR="00963356"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>IV: Elenco delle proposte pendenti ritirate o modificate</w:t>
            </w:r>
          </w:p>
          <w:p w:rsidR="008F0734" w:rsidRDefault="008F0734" w:rsidP="00963356">
            <w:pPr>
              <w:pStyle w:val="Default"/>
            </w:pPr>
          </w:p>
          <w:p w:rsidR="00963356" w:rsidRPr="008F0734" w:rsidRDefault="008F0734" w:rsidP="00963356">
            <w:pPr>
              <w:pStyle w:val="Default"/>
            </w:pPr>
            <w:r>
              <w:t xml:space="preserve">          </w:t>
            </w:r>
            <w:r w:rsidR="00963356" w:rsidRPr="008F0734">
              <w:t xml:space="preserve">Non ci sono provvedimenti </w:t>
            </w:r>
            <w:proofErr w:type="gramStart"/>
            <w:r w:rsidR="00963356" w:rsidRPr="008F0734">
              <w:t xml:space="preserve">di </w:t>
            </w:r>
            <w:proofErr w:type="gramEnd"/>
            <w:r w:rsidR="00963356" w:rsidRPr="008F0734">
              <w:t>interesse del settore delle costruzioni</w:t>
            </w:r>
          </w:p>
          <w:p w:rsidR="00963356" w:rsidRPr="008F0734" w:rsidRDefault="00963356" w:rsidP="00963356">
            <w:pPr>
              <w:pStyle w:val="Default"/>
            </w:pPr>
          </w:p>
          <w:p w:rsidR="002D0727" w:rsidRDefault="002D0727" w:rsidP="00FD4A06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b/>
                <w:sz w:val="24"/>
                <w:szCs w:val="24"/>
              </w:rPr>
            </w:pPr>
          </w:p>
          <w:p w:rsidR="00963356" w:rsidRPr="008F0734" w:rsidRDefault="00FD4A06" w:rsidP="00FD4A06">
            <w:pPr>
              <w:autoSpaceDE w:val="0"/>
              <w:autoSpaceDN w:val="0"/>
              <w:adjustRightInd w:val="0"/>
              <w:jc w:val="center"/>
              <w:rPr>
                <w:rStyle w:val="nolink"/>
                <w:rFonts w:ascii="Arial" w:hAnsi="Arial" w:cs="Arial"/>
                <w:sz w:val="24"/>
                <w:szCs w:val="24"/>
              </w:rPr>
            </w:pPr>
            <w:r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 xml:space="preserve">Allegato </w:t>
            </w:r>
            <w:proofErr w:type="spellStart"/>
            <w:r w:rsidR="00963356"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>VI</w:t>
            </w:r>
            <w:proofErr w:type="spellEnd"/>
            <w:r w:rsidR="00963356"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 xml:space="preserve">: Legislazione che diventerà applicabile nel </w:t>
            </w:r>
            <w:proofErr w:type="gramStart"/>
            <w:r w:rsidR="00963356" w:rsidRPr="008F0734">
              <w:rPr>
                <w:rStyle w:val="nolink"/>
                <w:rFonts w:ascii="Arial" w:hAnsi="Arial" w:cs="Arial"/>
                <w:b/>
                <w:sz w:val="24"/>
                <w:szCs w:val="24"/>
              </w:rPr>
              <w:t>2016</w:t>
            </w:r>
            <w:proofErr w:type="gramEnd"/>
          </w:p>
          <w:p w:rsidR="00FD4A06" w:rsidRPr="008F0734" w:rsidRDefault="00FD4A06" w:rsidP="00963356">
            <w:pPr>
              <w:pStyle w:val="Default"/>
            </w:pPr>
          </w:p>
          <w:p w:rsidR="00963356" w:rsidRDefault="00963356" w:rsidP="008F0734">
            <w:pPr>
              <w:pStyle w:val="Default"/>
              <w:numPr>
                <w:ilvl w:val="0"/>
                <w:numId w:val="11"/>
              </w:numPr>
            </w:pPr>
            <w:r w:rsidRPr="008F0734">
              <w:t xml:space="preserve">Altre parti del </w:t>
            </w:r>
            <w:r w:rsidRPr="008F0734">
              <w:rPr>
                <w:rFonts w:eastAsia="Cambria"/>
                <w:b/>
                <w:color w:val="000080"/>
                <w:u w:val="single"/>
              </w:rPr>
              <w:t xml:space="preserve">Regolamento </w:t>
            </w:r>
            <w:r w:rsidRPr="00A944CC">
              <w:rPr>
                <w:rFonts w:eastAsia="Cambria"/>
                <w:b/>
                <w:color w:val="000080"/>
                <w:u w:val="single"/>
              </w:rPr>
              <w:t xml:space="preserve">165/2014 </w:t>
            </w:r>
            <w:r w:rsidRPr="008F0734">
              <w:rPr>
                <w:rFonts w:eastAsia="Cambria"/>
                <w:b/>
                <w:color w:val="000080"/>
                <w:u w:val="single"/>
              </w:rPr>
              <w:t>relativo ai tachigrafi nel settore dei trasporti su strada</w:t>
            </w:r>
            <w:proofErr w:type="gramStart"/>
            <w:r w:rsidRPr="008F0734">
              <w:rPr>
                <w:b/>
                <w:bCs/>
              </w:rPr>
              <w:t xml:space="preserve"> </w:t>
            </w:r>
            <w:r w:rsidRPr="008F0734">
              <w:t xml:space="preserve"> </w:t>
            </w:r>
            <w:proofErr w:type="gramEnd"/>
            <w:r w:rsidRPr="008F0734">
              <w:t xml:space="preserve">entreranno in vigore il 2 marzo 2016. </w:t>
            </w:r>
          </w:p>
          <w:p w:rsidR="008F0734" w:rsidRPr="008F0734" w:rsidRDefault="008F0734" w:rsidP="008F0734">
            <w:pPr>
              <w:pStyle w:val="Default"/>
              <w:ind w:left="720"/>
            </w:pPr>
          </w:p>
          <w:p w:rsidR="008F0734" w:rsidRDefault="00963356" w:rsidP="008F0734">
            <w:pPr>
              <w:pStyle w:val="Default"/>
              <w:numPr>
                <w:ilvl w:val="0"/>
                <w:numId w:val="11"/>
              </w:numPr>
            </w:pPr>
            <w:r w:rsidRPr="008F0734">
              <w:t xml:space="preserve">La </w:t>
            </w:r>
            <w:r w:rsidRPr="008F0734">
              <w:rPr>
                <w:rFonts w:eastAsia="Cambria"/>
                <w:b/>
                <w:color w:val="000080"/>
                <w:u w:val="single"/>
              </w:rPr>
              <w:t xml:space="preserve">direttiva </w:t>
            </w:r>
            <w:r w:rsidRPr="00A944CC">
              <w:rPr>
                <w:rFonts w:eastAsia="Cambria"/>
                <w:b/>
                <w:color w:val="000080"/>
                <w:u w:val="single"/>
              </w:rPr>
              <w:t xml:space="preserve">2014/23/EU </w:t>
            </w:r>
            <w:r w:rsidR="00FD4A06" w:rsidRPr="008F0734">
              <w:rPr>
                <w:rFonts w:eastAsia="Cambria"/>
                <w:b/>
                <w:color w:val="000080"/>
                <w:u w:val="single"/>
              </w:rPr>
              <w:t>sull’aggiudicazione dei contratti di concessione</w:t>
            </w:r>
            <w:r w:rsidR="00FD4A06" w:rsidRPr="008F0734">
              <w:rPr>
                <w:b/>
                <w:bCs/>
              </w:rPr>
              <w:t xml:space="preserve"> </w:t>
            </w:r>
            <w:r w:rsidRPr="008F0734">
              <w:t xml:space="preserve">entrerà in vigore il 18 </w:t>
            </w:r>
            <w:r w:rsidR="002D0727" w:rsidRPr="008F0734">
              <w:t>aprile</w:t>
            </w:r>
            <w:r w:rsidR="008F0734">
              <w:t xml:space="preserve"> 2016.</w:t>
            </w:r>
          </w:p>
          <w:p w:rsidR="008F0734" w:rsidRDefault="008F0734" w:rsidP="008F0734">
            <w:pPr>
              <w:pStyle w:val="Default"/>
              <w:ind w:left="720"/>
            </w:pPr>
          </w:p>
          <w:p w:rsidR="00963356" w:rsidRDefault="00963356" w:rsidP="008F0734">
            <w:pPr>
              <w:pStyle w:val="Default"/>
              <w:numPr>
                <w:ilvl w:val="0"/>
                <w:numId w:val="11"/>
              </w:numPr>
            </w:pPr>
            <w:proofErr w:type="gramStart"/>
            <w:r w:rsidRPr="008F0734">
              <w:t xml:space="preserve">La </w:t>
            </w:r>
            <w:r w:rsidRPr="008F0734">
              <w:rPr>
                <w:rFonts w:eastAsia="Cambria"/>
                <w:b/>
                <w:color w:val="000080"/>
                <w:u w:val="single"/>
              </w:rPr>
              <w:t xml:space="preserve">direttiva </w:t>
            </w:r>
            <w:r w:rsidRPr="00A944CC">
              <w:rPr>
                <w:rFonts w:eastAsia="Cambria"/>
                <w:b/>
                <w:color w:val="000080"/>
                <w:u w:val="single"/>
              </w:rPr>
              <w:t xml:space="preserve">2014/24/EU </w:t>
            </w:r>
            <w:r w:rsidR="00FD4A06" w:rsidRPr="008F0734">
              <w:rPr>
                <w:rFonts w:eastAsia="Cambria"/>
                <w:b/>
                <w:color w:val="000080"/>
                <w:u w:val="single"/>
              </w:rPr>
              <w:t>sugli appalti pubblici</w:t>
            </w:r>
            <w:r w:rsidR="00FD4A06" w:rsidRPr="008F0734">
              <w:rPr>
                <w:rStyle w:val="lev"/>
                <w:color w:val="444444"/>
              </w:rPr>
              <w:t xml:space="preserve"> </w:t>
            </w:r>
            <w:r w:rsidRPr="008F0734">
              <w:t>il</w:t>
            </w:r>
            <w:r w:rsidRPr="00A944CC">
              <w:t xml:space="preserve"> </w:t>
            </w:r>
            <w:r w:rsidRPr="008F0734">
              <w:t xml:space="preserve">18 </w:t>
            </w:r>
            <w:r w:rsidR="002D0727" w:rsidRPr="008F0734">
              <w:t>aprile</w:t>
            </w:r>
            <w:r w:rsidRPr="008F0734">
              <w:t xml:space="preserve"> 2016 </w:t>
            </w:r>
            <w:proofErr w:type="gramEnd"/>
          </w:p>
          <w:p w:rsidR="008F0734" w:rsidRPr="008F0734" w:rsidRDefault="008F0734" w:rsidP="008F0734">
            <w:pPr>
              <w:pStyle w:val="Default"/>
              <w:ind w:left="720"/>
            </w:pPr>
          </w:p>
          <w:p w:rsidR="002D0727" w:rsidRDefault="00963356" w:rsidP="002D0727">
            <w:pPr>
              <w:pStyle w:val="Default"/>
              <w:numPr>
                <w:ilvl w:val="0"/>
                <w:numId w:val="11"/>
              </w:numPr>
            </w:pPr>
            <w:proofErr w:type="gramStart"/>
            <w:r w:rsidRPr="008F0734">
              <w:t xml:space="preserve">La </w:t>
            </w:r>
            <w:r w:rsidRPr="008F0734">
              <w:rPr>
                <w:rFonts w:eastAsia="Cambria"/>
                <w:b/>
                <w:color w:val="000080"/>
                <w:u w:val="single"/>
              </w:rPr>
              <w:t xml:space="preserve">direttiva </w:t>
            </w:r>
            <w:r w:rsidRPr="00A944CC">
              <w:rPr>
                <w:rFonts w:eastAsia="Cambria"/>
                <w:b/>
                <w:color w:val="000080"/>
                <w:u w:val="single"/>
              </w:rPr>
              <w:t xml:space="preserve">2014/25/EU </w:t>
            </w:r>
            <w:r w:rsidRPr="008F0734">
              <w:rPr>
                <w:rFonts w:eastAsia="Cambria"/>
                <w:b/>
                <w:color w:val="000080"/>
                <w:u w:val="single"/>
              </w:rPr>
              <w:t>sulle procedure d’appalto degli enti erogatori nei settori dell’acqua, dell’energia, dei trasporti e dei servizi pos</w:t>
            </w:r>
            <w:proofErr w:type="gramEnd"/>
            <w:r w:rsidRPr="008F0734">
              <w:rPr>
                <w:rFonts w:eastAsia="Cambria"/>
                <w:b/>
                <w:color w:val="000080"/>
                <w:u w:val="single"/>
              </w:rPr>
              <w:t>tal</w:t>
            </w:r>
            <w:r w:rsidRPr="008F0734">
              <w:rPr>
                <w:b/>
                <w:bCs/>
              </w:rPr>
              <w:t xml:space="preserve">i </w:t>
            </w:r>
            <w:r w:rsidR="002D0727" w:rsidRPr="008F0734">
              <w:t>il</w:t>
            </w:r>
            <w:r w:rsidR="002D0727" w:rsidRPr="00A944CC">
              <w:t xml:space="preserve"> </w:t>
            </w:r>
            <w:r w:rsidR="002D0727" w:rsidRPr="008F0734">
              <w:t xml:space="preserve">18 aprile 2016 </w:t>
            </w:r>
          </w:p>
          <w:p w:rsidR="00FD4A06" w:rsidRDefault="00FD4A06" w:rsidP="002D0727">
            <w:pPr>
              <w:pStyle w:val="Default"/>
              <w:ind w:left="720"/>
            </w:pPr>
          </w:p>
          <w:p w:rsidR="002D0727" w:rsidRPr="008F0734" w:rsidRDefault="002D0727" w:rsidP="002D0727">
            <w:pPr>
              <w:pStyle w:val="Default"/>
              <w:ind w:left="720"/>
            </w:pPr>
          </w:p>
          <w:p w:rsidR="001161CC" w:rsidRPr="00FD4A06" w:rsidRDefault="001161CC" w:rsidP="00FD4A0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D4A06">
              <w:rPr>
                <w:sz w:val="22"/>
                <w:szCs w:val="22"/>
              </w:rPr>
              <w:t xml:space="preserve"> </w:t>
            </w:r>
          </w:p>
        </w:tc>
      </w:tr>
    </w:tbl>
    <w:p w:rsidR="002D0727" w:rsidRDefault="002D0727" w:rsidP="00D12EC7">
      <w:pPr>
        <w:pStyle w:val="Stiletestocorrente"/>
        <w:spacing w:before="120" w:after="120" w:line="240" w:lineRule="auto"/>
        <w:ind w:left="0"/>
        <w:contextualSpacing w:val="0"/>
        <w:rPr>
          <w:rFonts w:cs="Arial"/>
          <w:i/>
          <w:color w:val="808080" w:themeColor="background1" w:themeShade="80"/>
          <w:sz w:val="22"/>
          <w:szCs w:val="22"/>
        </w:rPr>
      </w:pPr>
    </w:p>
    <w:p w:rsidR="00D12EC7" w:rsidRPr="00971905" w:rsidRDefault="00BE000C" w:rsidP="00D12EC7">
      <w:pPr>
        <w:pStyle w:val="Stiletestocorrente"/>
        <w:spacing w:before="120" w:after="120" w:line="240" w:lineRule="auto"/>
        <w:ind w:left="0"/>
        <w:contextualSpacing w:val="0"/>
        <w:rPr>
          <w:i/>
          <w:color w:val="808080" w:themeColor="background1" w:themeShade="80"/>
          <w:sz w:val="22"/>
          <w:szCs w:val="22"/>
        </w:rPr>
      </w:pPr>
      <w:r>
        <w:rPr>
          <w:rFonts w:cs="Arial"/>
          <w:i/>
          <w:color w:val="808080" w:themeColor="background1" w:themeShade="80"/>
          <w:sz w:val="22"/>
          <w:szCs w:val="22"/>
        </w:rPr>
        <w:t>2</w:t>
      </w:r>
      <w:r w:rsidR="00F003C4">
        <w:rPr>
          <w:rFonts w:cs="Arial"/>
          <w:i/>
          <w:color w:val="808080" w:themeColor="background1" w:themeShade="80"/>
          <w:sz w:val="22"/>
          <w:szCs w:val="22"/>
        </w:rPr>
        <w:t>8</w:t>
      </w:r>
      <w:r w:rsidR="009F7FE0">
        <w:rPr>
          <w:rFonts w:cs="Arial"/>
          <w:i/>
          <w:color w:val="808080" w:themeColor="background1" w:themeShade="80"/>
          <w:sz w:val="22"/>
          <w:szCs w:val="22"/>
        </w:rPr>
        <w:t xml:space="preserve"> ottobre 2015</w:t>
      </w:r>
    </w:p>
    <w:sectPr w:rsidR="00D12EC7" w:rsidRPr="00971905" w:rsidSect="003A5398">
      <w:pgSz w:w="11906" w:h="16838"/>
      <w:pgMar w:top="1417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68" w:rsidRDefault="00456368" w:rsidP="00F41EE6">
      <w:r>
        <w:separator/>
      </w:r>
    </w:p>
  </w:endnote>
  <w:endnote w:type="continuationSeparator" w:id="0">
    <w:p w:rsidR="00456368" w:rsidRDefault="00456368" w:rsidP="00F4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68" w:rsidRDefault="00456368" w:rsidP="00F41EE6">
      <w:r>
        <w:separator/>
      </w:r>
    </w:p>
  </w:footnote>
  <w:footnote w:type="continuationSeparator" w:id="0">
    <w:p w:rsidR="00456368" w:rsidRDefault="00456368" w:rsidP="00F41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231"/>
    <w:multiLevelType w:val="hybridMultilevel"/>
    <w:tmpl w:val="E5CC69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51B3"/>
    <w:multiLevelType w:val="hybridMultilevel"/>
    <w:tmpl w:val="F48420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D213A"/>
    <w:multiLevelType w:val="hybridMultilevel"/>
    <w:tmpl w:val="C8DC4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159DD"/>
    <w:multiLevelType w:val="hybridMultilevel"/>
    <w:tmpl w:val="57C6DF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46A93"/>
    <w:multiLevelType w:val="hybridMultilevel"/>
    <w:tmpl w:val="E70C3F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456B6"/>
    <w:multiLevelType w:val="hybridMultilevel"/>
    <w:tmpl w:val="B5AACF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F32B5"/>
    <w:multiLevelType w:val="hybridMultilevel"/>
    <w:tmpl w:val="F35254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26CA5"/>
    <w:multiLevelType w:val="hybridMultilevel"/>
    <w:tmpl w:val="AA2CCD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0127F"/>
    <w:multiLevelType w:val="hybridMultilevel"/>
    <w:tmpl w:val="8FF41C8A"/>
    <w:lvl w:ilvl="0" w:tplc="C27A6BD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11E42"/>
    <w:multiLevelType w:val="hybridMultilevel"/>
    <w:tmpl w:val="20CA4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B6924"/>
    <w:multiLevelType w:val="hybridMultilevel"/>
    <w:tmpl w:val="8982DC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F422D"/>
    <w:multiLevelType w:val="hybridMultilevel"/>
    <w:tmpl w:val="137E15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C7D4C"/>
    <w:multiLevelType w:val="hybridMultilevel"/>
    <w:tmpl w:val="45949D4E"/>
    <w:lvl w:ilvl="0" w:tplc="C27A6BD0">
      <w:numFmt w:val="bullet"/>
      <w:lvlText w:val="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C7"/>
    <w:rsid w:val="0003400B"/>
    <w:rsid w:val="00051E5F"/>
    <w:rsid w:val="00061899"/>
    <w:rsid w:val="000B3D33"/>
    <w:rsid w:val="000C4637"/>
    <w:rsid w:val="000D22E1"/>
    <w:rsid w:val="000E4352"/>
    <w:rsid w:val="001161CC"/>
    <w:rsid w:val="00143DCE"/>
    <w:rsid w:val="001C0016"/>
    <w:rsid w:val="001C081B"/>
    <w:rsid w:val="001D1508"/>
    <w:rsid w:val="001D52ED"/>
    <w:rsid w:val="001F34D3"/>
    <w:rsid w:val="00266108"/>
    <w:rsid w:val="00286AF7"/>
    <w:rsid w:val="002D0727"/>
    <w:rsid w:val="00371322"/>
    <w:rsid w:val="003A5398"/>
    <w:rsid w:val="003C26F0"/>
    <w:rsid w:val="003E3F6E"/>
    <w:rsid w:val="004151D4"/>
    <w:rsid w:val="00415E7F"/>
    <w:rsid w:val="00456368"/>
    <w:rsid w:val="00483706"/>
    <w:rsid w:val="00484C68"/>
    <w:rsid w:val="004A04D7"/>
    <w:rsid w:val="004A204B"/>
    <w:rsid w:val="004E59CD"/>
    <w:rsid w:val="004F1A60"/>
    <w:rsid w:val="00580620"/>
    <w:rsid w:val="0059130F"/>
    <w:rsid w:val="005C233A"/>
    <w:rsid w:val="005D69B3"/>
    <w:rsid w:val="00601241"/>
    <w:rsid w:val="00614069"/>
    <w:rsid w:val="00635CF3"/>
    <w:rsid w:val="006753BA"/>
    <w:rsid w:val="006A1670"/>
    <w:rsid w:val="006B5E36"/>
    <w:rsid w:val="006C245D"/>
    <w:rsid w:val="006E626F"/>
    <w:rsid w:val="006F27F4"/>
    <w:rsid w:val="006F54AE"/>
    <w:rsid w:val="00712151"/>
    <w:rsid w:val="00713099"/>
    <w:rsid w:val="00715DE1"/>
    <w:rsid w:val="0073062B"/>
    <w:rsid w:val="00732FB5"/>
    <w:rsid w:val="007505C2"/>
    <w:rsid w:val="007567D2"/>
    <w:rsid w:val="00794187"/>
    <w:rsid w:val="007A009F"/>
    <w:rsid w:val="007A1D09"/>
    <w:rsid w:val="007B1A71"/>
    <w:rsid w:val="007B7F4E"/>
    <w:rsid w:val="007C338B"/>
    <w:rsid w:val="007D5241"/>
    <w:rsid w:val="007E3A53"/>
    <w:rsid w:val="007F404C"/>
    <w:rsid w:val="0085705D"/>
    <w:rsid w:val="00866A86"/>
    <w:rsid w:val="008F0734"/>
    <w:rsid w:val="008F0950"/>
    <w:rsid w:val="00904120"/>
    <w:rsid w:val="00922C4B"/>
    <w:rsid w:val="0093032E"/>
    <w:rsid w:val="00933CF0"/>
    <w:rsid w:val="00953A3D"/>
    <w:rsid w:val="00963356"/>
    <w:rsid w:val="00971905"/>
    <w:rsid w:val="009C4CDC"/>
    <w:rsid w:val="009C6A7F"/>
    <w:rsid w:val="009F541E"/>
    <w:rsid w:val="009F7FE0"/>
    <w:rsid w:val="00A35E29"/>
    <w:rsid w:val="00A441FE"/>
    <w:rsid w:val="00A570DD"/>
    <w:rsid w:val="00A77925"/>
    <w:rsid w:val="00A944CC"/>
    <w:rsid w:val="00A948C0"/>
    <w:rsid w:val="00A96DDD"/>
    <w:rsid w:val="00AA3934"/>
    <w:rsid w:val="00AA47C9"/>
    <w:rsid w:val="00AB0E8E"/>
    <w:rsid w:val="00AB1BF6"/>
    <w:rsid w:val="00AC599C"/>
    <w:rsid w:val="00B41E81"/>
    <w:rsid w:val="00B45F8A"/>
    <w:rsid w:val="00B6409F"/>
    <w:rsid w:val="00BD34FB"/>
    <w:rsid w:val="00BE000C"/>
    <w:rsid w:val="00C002CB"/>
    <w:rsid w:val="00C2732C"/>
    <w:rsid w:val="00C34326"/>
    <w:rsid w:val="00C41A06"/>
    <w:rsid w:val="00C92819"/>
    <w:rsid w:val="00CE35D1"/>
    <w:rsid w:val="00CF71B7"/>
    <w:rsid w:val="00D0620F"/>
    <w:rsid w:val="00D12EC7"/>
    <w:rsid w:val="00D16F53"/>
    <w:rsid w:val="00D456A8"/>
    <w:rsid w:val="00D853EE"/>
    <w:rsid w:val="00D91AEF"/>
    <w:rsid w:val="00D951D8"/>
    <w:rsid w:val="00DA6870"/>
    <w:rsid w:val="00E00CCE"/>
    <w:rsid w:val="00E103BF"/>
    <w:rsid w:val="00E61438"/>
    <w:rsid w:val="00E7380B"/>
    <w:rsid w:val="00EA044E"/>
    <w:rsid w:val="00ED2EA4"/>
    <w:rsid w:val="00EF13A5"/>
    <w:rsid w:val="00EF15BC"/>
    <w:rsid w:val="00F003C4"/>
    <w:rsid w:val="00F33985"/>
    <w:rsid w:val="00F41EE6"/>
    <w:rsid w:val="00F70FCB"/>
    <w:rsid w:val="00F743E5"/>
    <w:rsid w:val="00F747AE"/>
    <w:rsid w:val="00FC5999"/>
    <w:rsid w:val="00FD4A06"/>
    <w:rsid w:val="00FF2FF3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2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Titre2">
    <w:name w:val="heading 2"/>
    <w:aliases w:val="Titolo 4 + corsivo Carattere,Titolo 4 + corsivo"/>
    <w:basedOn w:val="Normal"/>
    <w:next w:val="Normal"/>
    <w:link w:val="Titre2Car"/>
    <w:autoRedefine/>
    <w:unhideWhenUsed/>
    <w:qFormat/>
    <w:rsid w:val="00904120"/>
    <w:pPr>
      <w:keepNext/>
      <w:spacing w:before="240" w:after="240" w:line="360" w:lineRule="auto"/>
      <w:jc w:val="center"/>
      <w:outlineLvl w:val="1"/>
    </w:pPr>
    <w:rPr>
      <w:rFonts w:ascii="Arial" w:eastAsia="Times New Roman" w:hAnsi="Arial" w:cs="Arial"/>
      <w:b/>
      <w:cap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olo2Carattere">
    <w:name w:val="Titolo 2 Carattere"/>
    <w:basedOn w:val="Policepardfaut"/>
    <w:uiPriority w:val="9"/>
    <w:semiHidden/>
    <w:rsid w:val="0090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re2Car">
    <w:name w:val="Titre 2 Car"/>
    <w:aliases w:val="Titolo 4 + corsivo Carattere Car,Titolo 4 + corsivo Car"/>
    <w:link w:val="Titre2"/>
    <w:locked/>
    <w:rsid w:val="00904120"/>
    <w:rPr>
      <w:rFonts w:ascii="Arial" w:eastAsia="Times New Roman" w:hAnsi="Arial" w:cs="Arial"/>
      <w:b/>
      <w:caps/>
      <w:sz w:val="24"/>
      <w:szCs w:val="24"/>
    </w:rPr>
  </w:style>
  <w:style w:type="paragraph" w:customStyle="1" w:styleId="Stiletestocorrente">
    <w:name w:val="Stile testo corrente"/>
    <w:basedOn w:val="Normal"/>
    <w:uiPriority w:val="99"/>
    <w:qFormat/>
    <w:rsid w:val="00D12EC7"/>
    <w:pPr>
      <w:spacing w:line="240" w:lineRule="exact"/>
      <w:ind w:left="1588"/>
      <w:contextualSpacing/>
      <w:jc w:val="both"/>
    </w:pPr>
    <w:rPr>
      <w:rFonts w:ascii="Arial" w:eastAsia="Cambria" w:hAnsi="Arial" w:cs="Times New Roman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E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EC7"/>
    <w:rPr>
      <w:rFonts w:ascii="Tahoma" w:hAnsi="Tahoma" w:cs="Tahoma"/>
      <w:sz w:val="16"/>
      <w:szCs w:val="16"/>
      <w:lang w:eastAsia="it-IT"/>
    </w:rPr>
  </w:style>
  <w:style w:type="paragraph" w:styleId="Retraitcorpsdetexte">
    <w:name w:val="Body Text Indent"/>
    <w:basedOn w:val="Normal"/>
    <w:link w:val="RetraitcorpsdetexteCar"/>
    <w:rsid w:val="00D12EC7"/>
    <w:pPr>
      <w:ind w:left="426"/>
      <w:jc w:val="both"/>
    </w:pPr>
    <w:rPr>
      <w:rFonts w:eastAsia="Times New Roman" w:cs="Times New Roman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D12E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phedeliste">
    <w:name w:val="List Paragraph"/>
    <w:basedOn w:val="Normal"/>
    <w:uiPriority w:val="34"/>
    <w:qFormat/>
    <w:rsid w:val="00E103BF"/>
    <w:pPr>
      <w:ind w:left="720"/>
      <w:contextualSpacing/>
    </w:pPr>
  </w:style>
  <w:style w:type="paragraph" w:styleId="Notedebasdepage">
    <w:name w:val="footnote text"/>
    <w:aliases w:val=" Carattere4"/>
    <w:basedOn w:val="Normal"/>
    <w:link w:val="NotedebasdepageCar"/>
    <w:semiHidden/>
    <w:unhideWhenUsed/>
    <w:rsid w:val="00F41EE6"/>
  </w:style>
  <w:style w:type="character" w:customStyle="1" w:styleId="NotedebasdepageCar">
    <w:name w:val="Note de bas de page Car"/>
    <w:aliases w:val=" Carattere4 Car"/>
    <w:basedOn w:val="Policepardfaut"/>
    <w:link w:val="Notedebasdepage"/>
    <w:semiHidden/>
    <w:rsid w:val="00F41EE6"/>
    <w:rPr>
      <w:rFonts w:ascii="Times New Roman" w:hAnsi="Times New Roman"/>
      <w:sz w:val="20"/>
      <w:szCs w:val="20"/>
      <w:lang w:eastAsia="it-IT"/>
    </w:rPr>
  </w:style>
  <w:style w:type="character" w:styleId="Appelnotedebasdep">
    <w:name w:val="footnote reference"/>
    <w:basedOn w:val="Policepardfaut"/>
    <w:semiHidden/>
    <w:unhideWhenUsed/>
    <w:rsid w:val="00F41EE6"/>
    <w:rPr>
      <w:vertAlign w:val="superscript"/>
    </w:rPr>
  </w:style>
  <w:style w:type="table" w:styleId="Grilledutableau">
    <w:name w:val="Table Grid"/>
    <w:basedOn w:val="TableauNormal"/>
    <w:uiPriority w:val="59"/>
    <w:rsid w:val="003A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FF7A7B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143DCE"/>
    <w:rPr>
      <w:rFonts w:ascii="Consolas" w:hAnsi="Consolas" w:cs="Times New Roman"/>
      <w:sz w:val="21"/>
      <w:szCs w:val="21"/>
      <w:lang w:val="fr-BE" w:eastAsia="fr-B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43DCE"/>
    <w:rPr>
      <w:rFonts w:ascii="Consolas" w:hAnsi="Consolas" w:cs="Times New Roman"/>
      <w:sz w:val="21"/>
      <w:szCs w:val="21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EF13A5"/>
    <w:rPr>
      <w:color w:val="0000FF" w:themeColor="hyperlink"/>
      <w:u w:val="single"/>
    </w:rPr>
  </w:style>
  <w:style w:type="character" w:customStyle="1" w:styleId="nolink">
    <w:name w:val="nolink"/>
    <w:basedOn w:val="Policepardfaut"/>
    <w:rsid w:val="00A944CC"/>
  </w:style>
  <w:style w:type="paragraph" w:customStyle="1" w:styleId="CM1">
    <w:name w:val="CM1"/>
    <w:basedOn w:val="Default"/>
    <w:next w:val="Default"/>
    <w:uiPriority w:val="99"/>
    <w:rsid w:val="00963356"/>
    <w:rPr>
      <w:rFonts w:ascii="EUAlbertina" w:hAnsi="EUAlbertina" w:cstheme="minorBidi"/>
      <w:color w:val="auto"/>
      <w:lang w:val="fr-BE"/>
    </w:rPr>
  </w:style>
  <w:style w:type="paragraph" w:customStyle="1" w:styleId="CM3">
    <w:name w:val="CM3"/>
    <w:basedOn w:val="Default"/>
    <w:next w:val="Default"/>
    <w:uiPriority w:val="99"/>
    <w:rsid w:val="00963356"/>
    <w:rPr>
      <w:rFonts w:ascii="EUAlbertina" w:hAnsi="EUAlbertina" w:cstheme="minorBidi"/>
      <w:color w:val="auto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12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Titolo2">
    <w:name w:val="heading 2"/>
    <w:aliases w:val="Titolo 4 + corsivo Carattere,Titolo 4 + corsivo"/>
    <w:basedOn w:val="Normale"/>
    <w:next w:val="Normale"/>
    <w:link w:val="Titolo2Carattere1"/>
    <w:autoRedefine/>
    <w:unhideWhenUsed/>
    <w:qFormat/>
    <w:rsid w:val="00904120"/>
    <w:pPr>
      <w:keepNext/>
      <w:spacing w:before="240" w:after="240" w:line="360" w:lineRule="auto"/>
      <w:jc w:val="center"/>
      <w:outlineLvl w:val="1"/>
    </w:pPr>
    <w:rPr>
      <w:rFonts w:ascii="Arial" w:eastAsia="Times New Roman" w:hAnsi="Arial" w:cs="Arial"/>
      <w:b/>
      <w:cap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uiPriority w:val="9"/>
    <w:semiHidden/>
    <w:rsid w:val="0090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2Carattere1">
    <w:name w:val="Titolo 2 Carattere1"/>
    <w:aliases w:val="Titolo 4 + corsivo Carattere Carattere,Titolo 4 + corsivo Carattere1"/>
    <w:link w:val="Titolo2"/>
    <w:locked/>
    <w:rsid w:val="00904120"/>
    <w:rPr>
      <w:rFonts w:ascii="Arial" w:eastAsia="Times New Roman" w:hAnsi="Arial" w:cs="Arial"/>
      <w:b/>
      <w:caps/>
      <w:sz w:val="24"/>
      <w:szCs w:val="24"/>
    </w:rPr>
  </w:style>
  <w:style w:type="paragraph" w:customStyle="1" w:styleId="Stiletestocorrente">
    <w:name w:val="Stile testo corrente"/>
    <w:basedOn w:val="Normale"/>
    <w:uiPriority w:val="99"/>
    <w:qFormat/>
    <w:rsid w:val="00D12EC7"/>
    <w:pPr>
      <w:spacing w:line="240" w:lineRule="exact"/>
      <w:ind w:left="1588"/>
      <w:contextualSpacing/>
      <w:jc w:val="both"/>
    </w:pPr>
    <w:rPr>
      <w:rFonts w:ascii="Arial" w:eastAsia="Cambria" w:hAnsi="Arial" w:cs="Times New Roman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C7"/>
    <w:rPr>
      <w:rFonts w:ascii="Tahom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12EC7"/>
    <w:pPr>
      <w:ind w:left="426"/>
      <w:jc w:val="both"/>
    </w:pPr>
    <w:rPr>
      <w:rFonts w:eastAsia="Times New Roman"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2E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103BF"/>
    <w:pPr>
      <w:ind w:left="720"/>
      <w:contextualSpacing/>
    </w:pPr>
  </w:style>
  <w:style w:type="paragraph" w:styleId="Testonotaapidipagina">
    <w:name w:val="footnote text"/>
    <w:aliases w:val=" Carattere4"/>
    <w:basedOn w:val="Normale"/>
    <w:link w:val="TestonotaapidipaginaCarattere"/>
    <w:semiHidden/>
    <w:unhideWhenUsed/>
    <w:rsid w:val="00F41EE6"/>
  </w:style>
  <w:style w:type="character" w:customStyle="1" w:styleId="TestonotaapidipaginaCarattere">
    <w:name w:val="Testo nota a piè di pagina Carattere"/>
    <w:aliases w:val=" Carattere4 Carattere"/>
    <w:basedOn w:val="Carpredefinitoparagrafo"/>
    <w:link w:val="Testonotaapidipagina"/>
    <w:semiHidden/>
    <w:rsid w:val="00F41EE6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F41EE6"/>
    <w:rPr>
      <w:vertAlign w:val="superscript"/>
    </w:rPr>
  </w:style>
  <w:style w:type="table" w:styleId="Grigliatabella">
    <w:name w:val="Table Grid"/>
    <w:basedOn w:val="Tabellanormale"/>
    <w:uiPriority w:val="59"/>
    <w:rsid w:val="003A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0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F7A7B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43DCE"/>
    <w:rPr>
      <w:rFonts w:ascii="Consolas" w:hAnsi="Consolas" w:cs="Times New Roman"/>
      <w:sz w:val="21"/>
      <w:szCs w:val="21"/>
      <w:lang w:val="fr-BE" w:eastAsia="fr-B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43DCE"/>
    <w:rPr>
      <w:rFonts w:ascii="Consolas" w:hAnsi="Consolas" w:cs="Times New Roman"/>
      <w:sz w:val="21"/>
      <w:szCs w:val="21"/>
      <w:lang w:val="fr-BE" w:eastAsia="fr-BE"/>
    </w:rPr>
  </w:style>
  <w:style w:type="character" w:styleId="Collegamentoipertestuale">
    <w:name w:val="Hyperlink"/>
    <w:basedOn w:val="Carpredefinitoparagrafo"/>
    <w:uiPriority w:val="99"/>
    <w:unhideWhenUsed/>
    <w:rsid w:val="00EF1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.europa.eu/atwork/key-documents/index_it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CB85-3664-4F12-B36D-15F5C3CD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823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Bocognani Romain</dc:creator>
  <cp:lastModifiedBy>Pasquale Ialongo</cp:lastModifiedBy>
  <cp:revision>5</cp:revision>
  <cp:lastPrinted>2013-02-13T11:40:00Z</cp:lastPrinted>
  <dcterms:created xsi:type="dcterms:W3CDTF">2015-10-28T09:52:00Z</dcterms:created>
  <dcterms:modified xsi:type="dcterms:W3CDTF">2015-10-28T15:51:00Z</dcterms:modified>
</cp:coreProperties>
</file>